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jpeg" ContentType="image/jpeg"/>
  <Override PartName="/word/media/image4.png" ContentType="image/png"/>
  <Override PartName="/word/media/image5.png" ContentType="image/png"/>
  <Override PartName="/word/fontTable.xml" ContentType="application/vnd.openxmlformats-officedocument.wordprocessingml.fontTable+xml"/>
  <Override PartName="/word/charts/chart1.xml" ContentType="application/vnd.openxmlformats-officedocument.drawingml.chart+xml"/>
  <Override PartName="/word/charts/_rels/chart1.xml.rels" ContentType="application/vnd.openxmlformats-package.relationship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embeddings/_____Microsoft_Office_Excel1.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4"/>
        <w:spacing w:before="69" w:after="200"/>
        <w:ind w:left="142" w:hanging="0"/>
        <w:rPr>
          <w:rFonts w:ascii="Times New Roman" w:hAnsi="Times New Roman"/>
          <w:i w:val="false"/>
          <w:i w:val="false"/>
          <w:color w:val="00000A"/>
          <w:spacing w:val="-1"/>
        </w:rPr>
      </w:pPr>
      <w:r>
        <w:rPr/>
        <w:drawing>
          <wp:inline distT="0" distB="0" distL="19050" distR="5080">
            <wp:extent cx="6300470" cy="8897620"/>
            <wp:effectExtent l="0" t="0" r="0" b="0"/>
            <wp:docPr id="1"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4" descr=""/>
                    <pic:cNvPicPr>
                      <a:picLocks noChangeAspect="1" noChangeArrowheads="1"/>
                    </pic:cNvPicPr>
                  </pic:nvPicPr>
                  <pic:blipFill>
                    <a:blip r:embed="rId2"/>
                    <a:stretch>
                      <a:fillRect/>
                    </a:stretch>
                  </pic:blipFill>
                  <pic:spPr bwMode="auto">
                    <a:xfrm>
                      <a:off x="0" y="0"/>
                      <a:ext cx="6300470" cy="8897620"/>
                    </a:xfrm>
                    <a:prstGeom prst="rect">
                      <a:avLst/>
                    </a:prstGeom>
                  </pic:spPr>
                </pic:pic>
              </a:graphicData>
            </a:graphic>
          </wp:inline>
        </w:drawing>
      </w:r>
    </w:p>
    <w:p>
      <w:pPr>
        <w:pStyle w:val="4"/>
        <w:spacing w:before="69" w:after="200"/>
        <w:ind w:left="3969" w:hanging="0"/>
        <w:rPr>
          <w:rFonts w:ascii="Times New Roman" w:hAnsi="Times New Roman"/>
          <w:i w:val="false"/>
          <w:i w:val="false"/>
          <w:color w:val="00000A"/>
          <w:spacing w:val="-1"/>
        </w:rPr>
      </w:pPr>
      <w:r>
        <w:rPr>
          <w:rFonts w:ascii="Times New Roman" w:hAnsi="Times New Roman"/>
          <w:i w:val="false"/>
          <w:color w:val="00000A"/>
          <w:spacing w:val="-1"/>
        </w:rPr>
      </w:r>
    </w:p>
    <w:p>
      <w:pPr>
        <w:pStyle w:val="4"/>
        <w:spacing w:before="69" w:after="200"/>
        <w:ind w:left="3969" w:hanging="0"/>
        <w:rPr>
          <w:rFonts w:ascii="Times New Roman" w:hAnsi="Times New Roman"/>
          <w:i w:val="false"/>
          <w:i w:val="false"/>
          <w:color w:val="00000A"/>
          <w:spacing w:val="-1"/>
        </w:rPr>
      </w:pPr>
      <w:r>
        <w:rPr>
          <w:rFonts w:ascii="Times New Roman" w:hAnsi="Times New Roman"/>
          <w:i w:val="false"/>
          <w:color w:val="00000A"/>
          <w:spacing w:val="-1"/>
        </w:rPr>
        <w:t>О</w:t>
      </w:r>
      <w:r>
        <w:rPr>
          <w:rFonts w:ascii="Times New Roman" w:hAnsi="Times New Roman"/>
          <w:i w:val="false"/>
          <w:color w:val="00000A"/>
          <w:spacing w:val="-1"/>
        </w:rPr>
        <w:t xml:space="preserve">ОО "СтройЭнергоИнновации" 664007, Иркутская область, г. Иркутск, ул. Фридриха Энгельса, д. 8, корп. Б, оф. 303, телефон: 8 (3952) 603-650, 604-650, e-mail: sei.irk@mail.ru, www.стройэнергоинновации.рф    </w:t>
      </w:r>
      <w:r>
        <mc:AlternateContent>
          <mc:Choice Requires="wps">
            <w:drawing>
              <wp:anchor behindDoc="0" distT="0" distB="0" distL="114300" distR="92075" simplePos="0" locked="0" layoutInCell="1" allowOverlap="1" relativeHeight="2">
                <wp:simplePos x="0" y="0"/>
                <wp:positionH relativeFrom="column">
                  <wp:posOffset>-227965</wp:posOffset>
                </wp:positionH>
                <wp:positionV relativeFrom="paragraph">
                  <wp:posOffset>-76835</wp:posOffset>
                </wp:positionV>
                <wp:extent cx="2813050" cy="1819275"/>
                <wp:effectExtent l="0" t="0" r="22225" b="22225"/>
                <wp:wrapNone/>
                <wp:docPr id="2" name=""/>
                <a:graphic xmlns:a="http://schemas.openxmlformats.org/drawingml/2006/main">
                  <a:graphicData uri="http://schemas.microsoft.com/office/word/2010/wordprocessingShape">
                    <wps:wsp>
                      <wps:cNvSpPr txBox="1"/>
                      <wps:spPr>
                        <a:xfrm>
                          <a:off x="0" y="0"/>
                          <a:ext cx="2813050" cy="1819275"/>
                        </a:xfrm>
                        <a:prstGeom prst="rect"/>
                        <a:solidFill>
                          <a:srgbClr val="FFFFFF"/>
                        </a:solidFill>
                        <a:ln w="12700">
                          <a:solidFill>
                            <a:srgbClr val="FFFFFF"/>
                          </a:solidFill>
                          <a:prstDash val="dash"/>
                        </a:ln>
                        <a:effectLst>
                          <a:outerShdw dist="31115" dir="2700000">
                            <a:srgbClr val="868686"/>
                          </a:outerShdw>
                        </a:effectLst>
                      </wps:spPr>
                      <wps:txbx>
                        <w:txbxContent>
                          <w:p>
                            <w:pPr>
                              <w:pStyle w:val="Style33"/>
                              <w:spacing w:before="0" w:after="200"/>
                              <w:rPr/>
                            </w:pPr>
                            <w:r>
                              <w:rPr/>
                              <w:drawing>
                                <wp:inline distT="0" distB="0" distL="19050" distR="9525">
                                  <wp:extent cx="2257425" cy="1562100"/>
                                  <wp:effectExtent l="0" t="0" r="0" b="0"/>
                                  <wp:docPr id="3" name="Рисунок 1" descr="C:\Арбайтен\Визитки и логотип\1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C:\Арбайтен\Визитки и логотип\1 (1) - копия.JPG"/>
                                          <pic:cNvPicPr>
                                            <a:picLocks noChangeAspect="1" noChangeArrowheads="1"/>
                                          </pic:cNvPicPr>
                                        </pic:nvPicPr>
                                        <pic:blipFill>
                                          <a:blip r:embed="rId3"/>
                                          <a:stretch>
                                            <a:fillRect/>
                                          </a:stretch>
                                        </pic:blipFill>
                                        <pic:spPr bwMode="auto">
                                          <a:xfrm>
                                            <a:off x="0" y="0"/>
                                            <a:ext cx="2257425" cy="1562100"/>
                                          </a:xfrm>
                                          <a:prstGeom prst="rect">
                                            <a:avLst/>
                                          </a:prstGeom>
                                        </pic:spPr>
                                      </pic:pic>
                                    </a:graphicData>
                                  </a:graphic>
                                </wp:inline>
                              </w:drawing>
                            </w:r>
                          </w:p>
                        </w:txbxContent>
                      </wps:txbx>
                      <wps:bodyPr anchor="t" lIns="91440" tIns="45720" rIns="91440" bIns="45720">
                        <a:noAutofit/>
                      </wps:bodyPr>
                    </wps:wsp>
                  </a:graphicData>
                </a:graphic>
              </wp:anchor>
            </w:drawing>
          </mc:Choice>
          <mc:Fallback>
            <w:pict>
              <v:rect fillcolor="#FFFFFF" strokecolor="#FFFFFF" strokeweight="1pt" style="position:absolute;rotation:0;width:221.5pt;height:143.25pt;mso-wrap-distance-left:9pt;mso-wrap-distance-right:9pt;mso-wrap-distance-top:0pt;mso-wrap-distance-bottom:0pt;margin-top:-6.05pt;mso-position-vertical-relative:text;margin-left:-17.95pt;mso-position-horizontal-relative:text">
                <v:shadow on="t" color="#868686" offset="1.75pt,1.75pt"/>
                <v:stroke dashstyle="dash"/>
                <v:textbox>
                  <w:txbxContent>
                    <w:p>
                      <w:pPr>
                        <w:pStyle w:val="Style33"/>
                        <w:spacing w:before="0" w:after="200"/>
                        <w:rPr/>
                      </w:pPr>
                      <w:r>
                        <w:rPr/>
                        <w:drawing>
                          <wp:inline distT="0" distB="0" distL="19050" distR="9525">
                            <wp:extent cx="2257425" cy="1562100"/>
                            <wp:effectExtent l="0" t="0" r="0" b="0"/>
                            <wp:docPr id="4" name="Рисунок 1" descr="C:\Арбайтен\Визитки и логотип\1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C:\Арбайтен\Визитки и логотип\1 (1) - копия.JPG"/>
                                    <pic:cNvPicPr>
                                      <a:picLocks noChangeAspect="1" noChangeArrowheads="1"/>
                                    </pic:cNvPicPr>
                                  </pic:nvPicPr>
                                  <pic:blipFill>
                                    <a:blip r:embed="rId3"/>
                                    <a:stretch>
                                      <a:fillRect/>
                                    </a:stretch>
                                  </pic:blipFill>
                                  <pic:spPr bwMode="auto">
                                    <a:xfrm>
                                      <a:off x="0" y="0"/>
                                      <a:ext cx="2257425" cy="1562100"/>
                                    </a:xfrm>
                                    <a:prstGeom prst="rect">
                                      <a:avLst/>
                                    </a:prstGeom>
                                  </pic:spPr>
                                </pic:pic>
                              </a:graphicData>
                            </a:graphic>
                          </wp:inline>
                        </w:drawing>
                      </w:r>
                    </w:p>
                  </w:txbxContent>
                </v:textbox>
              </v:rect>
            </w:pict>
          </mc:Fallback>
        </mc:AlternateContent>
      </w:r>
    </w:p>
    <w:p>
      <w:pPr>
        <w:pStyle w:val="4"/>
        <w:spacing w:lineRule="auto" w:line="240" w:before="0" w:after="200"/>
        <w:ind w:left="5046" w:firstLine="618"/>
        <w:jc w:val="right"/>
        <w:rPr>
          <w:rFonts w:ascii="Times New Roman" w:hAnsi="Times New Roman"/>
          <w:b w:val="false"/>
          <w:b w:val="false"/>
          <w:i w:val="false"/>
          <w:i w:val="false"/>
          <w:color w:val="00000A"/>
          <w:spacing w:val="-1"/>
        </w:rPr>
      </w:pPr>
      <w:r>
        <w:rPr>
          <w:rFonts w:ascii="Times New Roman" w:hAnsi="Times New Roman"/>
          <w:b w:val="false"/>
          <w:i w:val="false"/>
          <w:color w:val="00000A"/>
          <w:spacing w:val="-1"/>
        </w:rPr>
        <w:t xml:space="preserve"> </w:t>
      </w:r>
      <w:r>
        <w:rPr>
          <w:rFonts w:ascii="Times New Roman" w:hAnsi="Times New Roman"/>
          <w:b w:val="false"/>
          <w:i w:val="false"/>
          <w:color w:val="00000A"/>
          <w:spacing w:val="-1"/>
        </w:rPr>
        <w:t>Схема водоснабжения муниципального образования Алексеевского городского поселения на период до 2034 года</w:t>
      </w:r>
    </w:p>
    <w:p>
      <w:pPr>
        <w:pStyle w:val="Normal"/>
        <w:rPr/>
      </w:pPr>
      <w:r>
        <w:rPr/>
      </w:r>
    </w:p>
    <w:p>
      <w:pPr>
        <w:pStyle w:val="23"/>
        <w:rPr/>
      </w:pPr>
      <w:bookmarkStart w:id="0" w:name="_Toc381715475"/>
      <w:r>
        <w:rPr/>
        <w:t>СОДЕРЖАНИЕ</w:t>
      </w:r>
    </w:p>
    <w:p>
      <w:pPr>
        <w:pStyle w:val="Normal"/>
        <w:ind w:hanging="0"/>
        <w:rPr/>
      </w:pPr>
      <w:r>
        <w:rPr/>
        <w:t>ВВЕДЕНИЕ……………………………………………………………………………………..............6</w:t>
      </w:r>
    </w:p>
    <w:p>
      <w:pPr>
        <w:pStyle w:val="Normal"/>
        <w:ind w:hanging="0"/>
        <w:rPr/>
      </w:pPr>
      <w:r>
        <w:rPr/>
        <w:t>ОБЩИЕ СВЕДЕНИЯ……………………………………………………………………………..........7</w:t>
      </w:r>
    </w:p>
    <w:p>
      <w:pPr>
        <w:pStyle w:val="Normal"/>
        <w:ind w:hanging="0"/>
        <w:rPr/>
      </w:pPr>
      <w:r>
        <w:rPr/>
        <w:t>1.</w:t>
        <w:tab/>
        <w:t>СХЕМА ВОДОСНАБЖЕНИЯ………………………………………...……………................9</w:t>
      </w:r>
    </w:p>
    <w:p>
      <w:pPr>
        <w:pStyle w:val="Normal"/>
        <w:ind w:hanging="0"/>
        <w:rPr/>
      </w:pPr>
      <w:r>
        <w:rPr/>
        <w:t>1.1.</w:t>
        <w:tab/>
        <w:t>ТЕХНИКО-ЭКОНОМИЧЕСКОЕ СОСТОЯНИЕ ЦЕНТРАЛИЗОВАННЫХ СИСТЕМ ВОДОСНАБЖЕНИЯ ПОСЕЛЕНИЯ…………….…………………………………………………..9</w:t>
      </w:r>
    </w:p>
    <w:p>
      <w:pPr>
        <w:pStyle w:val="Normal"/>
        <w:ind w:hanging="0"/>
        <w:rPr/>
      </w:pPr>
      <w:r>
        <w:rPr/>
        <w:t>1.1.1.</w:t>
        <w:tab/>
        <w:t>Описание системы и структуры водоснабжения муниципального образования и деление территории поселения на  эксплуатационные зоны</w:t>
        <w:tab/>
        <w:t>……………………………….............…...9</w:t>
      </w:r>
    </w:p>
    <w:p>
      <w:pPr>
        <w:pStyle w:val="Normal"/>
        <w:ind w:hanging="0"/>
        <w:rPr/>
      </w:pPr>
      <w:r>
        <w:rPr/>
        <w:t>1.1.2.</w:t>
        <w:tab/>
        <w:t>Описание территорий муниципального образования, не охваченные централизованными системами водоснабжения………………………………………….………......................................11</w:t>
      </w:r>
    </w:p>
    <w:p>
      <w:pPr>
        <w:pStyle w:val="Normal"/>
        <w:ind w:hanging="0"/>
        <w:rPr/>
      </w:pPr>
      <w:r>
        <w:rPr/>
        <w:t>1.1.3.</w:t>
        <w:tab/>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tab/>
        <w:t>…………………………………………………………..............................…...11</w:t>
      </w:r>
    </w:p>
    <w:p>
      <w:pPr>
        <w:pStyle w:val="Normal"/>
        <w:ind w:hanging="0"/>
        <w:rPr/>
      </w:pPr>
      <w:r>
        <w:rPr/>
        <w:t>1.1.4.</w:t>
        <w:tab/>
        <w:t>Описание результатов технического обследования централизованных систем водоснабжения………………………………………………………………………………....……..12</w:t>
      </w:r>
    </w:p>
    <w:p>
      <w:pPr>
        <w:pStyle w:val="Normal"/>
        <w:ind w:hanging="0"/>
        <w:rPr/>
      </w:pPr>
      <w:r>
        <w:rPr/>
        <w:t>1.1.4.1.</w:t>
        <w:tab/>
        <w:t>Описание состояния существующих источников водоснабжения и водозаборных сооружений……………………………………………………………………………………....…....12</w:t>
      </w:r>
    </w:p>
    <w:p>
      <w:pPr>
        <w:pStyle w:val="Normal"/>
        <w:ind w:hanging="0"/>
        <w:rPr/>
      </w:pPr>
      <w:r>
        <w:rPr/>
        <w:t>1.1.4.2.</w:t>
        <w:tab/>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воды…………………………………………………………….13</w:t>
      </w:r>
    </w:p>
    <w:p>
      <w:pPr>
        <w:pStyle w:val="Normal"/>
        <w:ind w:hanging="0"/>
        <w:rPr/>
      </w:pPr>
      <w:r>
        <w:rPr/>
        <w:t>1.1.4.3.</w:t>
        <w:tab/>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(давления)………………………….......................................................................................................14</w:t>
      </w:r>
    </w:p>
    <w:p>
      <w:pPr>
        <w:pStyle w:val="Normal"/>
        <w:ind w:hanging="0"/>
        <w:rPr/>
      </w:pPr>
      <w:r>
        <w:rPr/>
        <w:t>1.1.4.4.</w:t>
        <w:tab/>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сетям……..................….........15</w:t>
      </w:r>
    </w:p>
    <w:p>
      <w:pPr>
        <w:pStyle w:val="Normal"/>
        <w:ind w:hanging="0"/>
        <w:rPr/>
      </w:pPr>
      <w:r>
        <w:rPr/>
        <w:t>1.1.4.5.</w:t>
        <w:tab/>
        <w:t>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воды……………........................……............16</w:t>
      </w:r>
    </w:p>
    <w:p>
      <w:pPr>
        <w:pStyle w:val="Normal"/>
        <w:ind w:hanging="0"/>
        <w:rPr/>
      </w:pPr>
      <w:r>
        <w:rPr/>
        <w:t>1.1.4.6.</w:t>
        <w:tab/>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системы…………………………................................……………………………..…......16</w:t>
      </w:r>
    </w:p>
    <w:p>
      <w:pPr>
        <w:pStyle w:val="Normal"/>
        <w:ind w:hanging="0"/>
        <w:rPr/>
      </w:pPr>
      <w:r>
        <w:rPr/>
        <w:t>1.1.5.</w:t>
        <w:tab/>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грунтов………………………………………….…………………………………………..........…....17</w:t>
      </w:r>
    </w:p>
    <w:p>
      <w:pPr>
        <w:pStyle w:val="Normal"/>
        <w:ind w:hanging="0"/>
        <w:rPr/>
      </w:pPr>
      <w:r>
        <w:rPr/>
        <w:t>1.1.6.</w:t>
        <w:tab/>
        <w:t>Перечень организаций, владеющих объектами централизованной  системой водоснабжения.......................................................................................................................................17</w:t>
      </w:r>
    </w:p>
    <w:p>
      <w:pPr>
        <w:pStyle w:val="Normal"/>
        <w:ind w:hanging="0"/>
        <w:rPr/>
      </w:pPr>
      <w:r>
        <w:rPr/>
        <w:t>1.2.</w:t>
        <w:tab/>
        <w:t>НАПРАВЛЕНИЯ РАЗВИТИЯ ЦЕНТРАЛИЗОВАННЫХ СИСТЕМ ВОДОСНАБЖЕНИЯ…………………………………………………………………………............17</w:t>
      </w:r>
    </w:p>
    <w:p>
      <w:pPr>
        <w:pStyle w:val="Normal"/>
        <w:ind w:hanging="0"/>
        <w:rPr/>
      </w:pPr>
      <w:r>
        <w:rPr/>
        <w:t>1.2.1.</w:t>
        <w:tab/>
        <w:t>Основные направления, принципы, задачи и целевые показатели развития централизованных систем водоснабжения…………………………………………........................17</w:t>
      </w:r>
    </w:p>
    <w:p>
      <w:pPr>
        <w:pStyle w:val="Normal"/>
        <w:ind w:hanging="0"/>
        <w:rPr/>
      </w:pPr>
      <w:r>
        <w:rPr/>
        <w:t>1.2.2.</w:t>
        <w:tab/>
        <w:t>Сценарии развития централизованных систем водоснабжения в зависимости от сценариев развития муниципального образования …………………………………..………........20</w:t>
      </w:r>
    </w:p>
    <w:p>
      <w:pPr>
        <w:pStyle w:val="Normal"/>
        <w:ind w:hanging="0"/>
        <w:rPr/>
      </w:pPr>
      <w:r>
        <w:rPr/>
        <w:t>1.3.</w:t>
        <w:tab/>
        <w:t>БАЛАНС ВОДОСНАБЖЕНИЯ И ПОТРЕБЛЕНИЯ ГОРЯЧЕЙ, ПИТЬЕВОЙ, ТЕХНИЧЕСКОЙ ВОДЫ……………………………………………………………..……………....21</w:t>
      </w:r>
    </w:p>
    <w:p>
      <w:pPr>
        <w:pStyle w:val="Normal"/>
        <w:ind w:hanging="0"/>
        <w:rPr/>
      </w:pPr>
      <w:r>
        <w:rPr/>
        <w:t>1.3.1.</w:t>
        <w:tab/>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транспортировке…..…..........................................................................................................................21</w:t>
      </w:r>
    </w:p>
    <w:p>
      <w:pPr>
        <w:pStyle w:val="Normal"/>
        <w:ind w:hanging="0"/>
        <w:rPr/>
      </w:pPr>
      <w:r>
        <w:rPr/>
        <w:t>1.3.2.</w:t>
        <w:tab/>
        <w:t>Территориальный водный баланс подачи воды по зонам действия водопроводных сооружений (годовой и в сутки максимального водопотребления)……………………………....22</w:t>
      </w:r>
    </w:p>
    <w:p>
      <w:pPr>
        <w:pStyle w:val="Normal"/>
        <w:ind w:hanging="0"/>
        <w:rPr/>
      </w:pPr>
      <w:r>
        <w:rPr/>
        <w:t>1.3.3.</w:t>
        <w:tab/>
        <w:t>Структурный водный баланс реализации воды по группам потребителей………...…......22</w:t>
      </w:r>
    </w:p>
    <w:p>
      <w:pPr>
        <w:pStyle w:val="Normal"/>
        <w:ind w:hanging="0"/>
        <w:rPr/>
      </w:pPr>
      <w:r>
        <w:rPr/>
        <w:t>1.3.4.</w:t>
        <w:tab/>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услуг….................................................................................................................................…..............23</w:t>
      </w:r>
    </w:p>
    <w:p>
      <w:pPr>
        <w:pStyle w:val="Normal"/>
        <w:ind w:hanging="0"/>
        <w:rPr/>
      </w:pPr>
      <w:r>
        <w:rPr/>
        <w:t>1.3.5.</w:t>
        <w:tab/>
        <w:t>Описание существующей системы коммерческого учета воды и планов по установке приборов учета………………………………………………………………………………...……...24</w:t>
      </w:r>
    </w:p>
    <w:p>
      <w:pPr>
        <w:pStyle w:val="Normal"/>
        <w:ind w:hanging="0"/>
        <w:rPr/>
      </w:pPr>
      <w:r>
        <w:rPr/>
        <w:t>1.3.6.</w:t>
        <w:tab/>
        <w:t>Анализ резервов и дефицитов производственных мощностей системы водоснабжения муниципального образования……………………………………………………………………….24</w:t>
      </w:r>
    </w:p>
    <w:p>
      <w:pPr>
        <w:pStyle w:val="Normal"/>
        <w:ind w:hanging="0"/>
        <w:rPr/>
      </w:pPr>
      <w:r>
        <w:rPr/>
        <w:t>1.3.7.</w:t>
        <w:tab/>
        <w:t>Прогнозный баланс потребления воды на срок не менее 10 лет, с учетом сценария развития муниципального образования,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застройки……………………………………………………………………………...………………25</w:t>
      </w:r>
    </w:p>
    <w:p>
      <w:pPr>
        <w:pStyle w:val="Normal"/>
        <w:ind w:hanging="0"/>
        <w:rPr/>
      </w:pPr>
      <w:r>
        <w:rPr/>
        <w:t>1.3.8.</w:t>
        <w:tab/>
        <w:t>Сведения о фактическом и ожидаемом потреблении воды (годовое, среднесуточное, максимальное суточное)…………………………………………………………………..………….26</w:t>
      </w:r>
    </w:p>
    <w:p>
      <w:pPr>
        <w:pStyle w:val="Normal"/>
        <w:ind w:hanging="0"/>
        <w:rPr/>
      </w:pPr>
      <w:r>
        <w:rPr/>
        <w:t>1.3.9.</w:t>
        <w:tab/>
        <w:t>Описание территориальной структуры потребления воды………………………..........…27</w:t>
      </w:r>
    </w:p>
    <w:p>
      <w:pPr>
        <w:pStyle w:val="Normal"/>
        <w:ind w:hanging="0"/>
        <w:rPr/>
      </w:pPr>
      <w:r>
        <w:rPr/>
        <w:t>1.3.10.</w:t>
        <w:tab/>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абонентами…………………………………………………………………………………..…...........27</w:t>
      </w:r>
    </w:p>
    <w:p>
      <w:pPr>
        <w:pStyle w:val="Normal"/>
        <w:ind w:hanging="0"/>
        <w:rPr/>
      </w:pPr>
      <w:r>
        <w:rPr/>
        <w:t>1.3.11.</w:t>
        <w:tab/>
        <w:t>Сведения о фактических и планируемых потерях воды при ее транспортировке (годовые, среднесуточные значения)……………………………………………………………………...........28</w:t>
      </w:r>
    </w:p>
    <w:p>
      <w:pPr>
        <w:pStyle w:val="Normal"/>
        <w:ind w:hanging="0"/>
        <w:rPr/>
      </w:pPr>
      <w:r>
        <w:rPr/>
        <w:t>1.3.12.</w:t>
        <w:tab/>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абонентов)………..……..28</w:t>
      </w:r>
    </w:p>
    <w:p>
      <w:pPr>
        <w:pStyle w:val="Normal"/>
        <w:ind w:hanging="0"/>
        <w:rPr/>
      </w:pPr>
      <w:r>
        <w:rPr/>
        <w:t>1.3.13.</w:t>
        <w:tab/>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годам…………………………………………………..…29</w:t>
      </w:r>
    </w:p>
    <w:p>
      <w:pPr>
        <w:pStyle w:val="Normal"/>
        <w:ind w:hanging="0"/>
        <w:rPr/>
      </w:pPr>
      <w:r>
        <w:rPr/>
        <w:t>1.3.14.</w:t>
        <w:tab/>
        <w:t>Наименование организации, наделенной статусом гарантирующей организации…........29</w:t>
      </w:r>
    </w:p>
    <w:p>
      <w:pPr>
        <w:pStyle w:val="Normal"/>
        <w:ind w:hanging="0"/>
        <w:rPr/>
      </w:pPr>
      <w:r>
        <w:rPr/>
        <w:t>1.4.</w:t>
        <w:tab/>
        <w:t>ПРЕДЛОЖЕНИЯ ПО СТРОИТЕЛЬСТВУ, РЕКОНСТРУКЦИИ И МОДЕРНИЗАЦИИ ОБЪЕКТОВ СИСТЕМ ВОДОСНАБЖЕНИЯ………………………………………………………29</w:t>
      </w:r>
    </w:p>
    <w:p>
      <w:pPr>
        <w:pStyle w:val="Normal"/>
        <w:ind w:hanging="0"/>
        <w:rPr/>
      </w:pPr>
      <w:r>
        <w:rPr/>
        <w:t>1.4.1.</w:t>
        <w:tab/>
        <w:t>Перечень основных мероприятий по реализации схем водоснабжения с разбивкой по годам………………………………………………….………………………………………..……....30</w:t>
      </w:r>
    </w:p>
    <w:p>
      <w:pPr>
        <w:pStyle w:val="Normal"/>
        <w:ind w:hanging="0"/>
        <w:rPr/>
      </w:pPr>
      <w:r>
        <w:rPr/>
        <w:t>1.4.2.</w:t>
        <w:tab/>
        <w:t>Технические обоснования основных мероприятий по реализации схем водоснабжения………………………………………………………………………………..……….31</w:t>
      </w:r>
    </w:p>
    <w:p>
      <w:pPr>
        <w:pStyle w:val="Normal"/>
        <w:ind w:hanging="0"/>
        <w:rPr/>
      </w:pPr>
      <w:r>
        <w:rPr/>
        <w:t>1.4.2.1.</w:t>
        <w:tab/>
        <w:t>Обеспечение подачи абонентам определенного объема питьевой воды установленного качества……………………………………………………………..…………........31</w:t>
      </w:r>
    </w:p>
    <w:p>
      <w:pPr>
        <w:pStyle w:val="Normal"/>
        <w:ind w:hanging="0"/>
        <w:rPr/>
      </w:pPr>
      <w:r>
        <w:rPr/>
        <w:t>1.4.2.2.</w:t>
        <w:tab/>
        <w:t>Организация и обеспечение централизованного водоснабжения на территориях, где оно отсутствует…………………………………………………………………………………...32</w:t>
      </w:r>
    </w:p>
    <w:p>
      <w:pPr>
        <w:pStyle w:val="Normal"/>
        <w:ind w:hanging="0"/>
        <w:rPr/>
      </w:pPr>
      <w:r>
        <w:rPr/>
        <w:t>1.4.2.3.</w:t>
        <w:tab/>
        <w:t>Обеспечение водоснабжения объектов перспективной застройки населенного пункта…………………………………………………………………………………………...…......32</w:t>
      </w:r>
    </w:p>
    <w:p>
      <w:pPr>
        <w:pStyle w:val="Normal"/>
        <w:ind w:hanging="0"/>
        <w:rPr/>
      </w:pPr>
      <w:r>
        <w:rPr/>
        <w:t>1.4.2.4.</w:t>
        <w:tab/>
        <w:t>Сокращение потерь воды при ее транспортировке……………………………...…32</w:t>
      </w:r>
    </w:p>
    <w:p>
      <w:pPr>
        <w:pStyle w:val="Normal"/>
        <w:ind w:hanging="0"/>
        <w:rPr/>
      </w:pPr>
      <w:r>
        <w:rPr/>
        <w:t>1.4.2.5.</w:t>
        <w:tab/>
        <w:t>Выполнение мероприятий, направленных на обеспечение соответствия качества питьевой воды требованиям законодательства Российской Федерации…………………………33</w:t>
      </w:r>
    </w:p>
    <w:p>
      <w:pPr>
        <w:pStyle w:val="Normal"/>
        <w:ind w:hanging="0"/>
        <w:rPr/>
      </w:pPr>
      <w:r>
        <w:rPr/>
        <w:t>1.4.3.</w:t>
        <w:tab/>
        <w:t>Сведения о вновь строящихся, реконструируемых и предлагаемых к выводу из эксплуатации объектах системы водоснабжения</w:t>
        <w:tab/>
        <w:t>……………………………………......................33</w:t>
      </w:r>
    </w:p>
    <w:p>
      <w:pPr>
        <w:pStyle w:val="Normal"/>
        <w:ind w:hanging="0"/>
        <w:rPr/>
      </w:pPr>
      <w:r>
        <w:rPr/>
        <w:t>1.4.4.</w:t>
        <w:tab/>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водоснабжение……….34</w:t>
      </w:r>
    </w:p>
    <w:p>
      <w:pPr>
        <w:pStyle w:val="Normal"/>
        <w:ind w:hanging="0"/>
        <w:rPr/>
      </w:pPr>
      <w:r>
        <w:rPr/>
        <w:t>1.4.5.</w:t>
        <w:tab/>
        <w:t>Сведения об оснащенности зданий, строений, сооружений приборами учета воды и их применении при осуществлении расчетов за потребленную воду…………………………….…34</w:t>
      </w:r>
    </w:p>
    <w:p>
      <w:pPr>
        <w:pStyle w:val="Normal"/>
        <w:ind w:hanging="0"/>
        <w:rPr/>
      </w:pPr>
      <w:r>
        <w:rPr/>
        <w:t>1.4.6.</w:t>
        <w:tab/>
        <w:t>Описание вариантов маршрутов прохождения трубопроводов (трасс) по территории муниципального образования …………………………………………………………………....…34</w:t>
      </w:r>
    </w:p>
    <w:p>
      <w:pPr>
        <w:pStyle w:val="Normal"/>
        <w:ind w:hanging="0"/>
        <w:rPr/>
      </w:pPr>
      <w:r>
        <w:rPr/>
        <w:t>1.4.7.</w:t>
        <w:tab/>
        <w:t>Рекомендации о месте размещения насосных станций, резервуаров, водонапорных башен……………………………………………………………………………………………….….35</w:t>
      </w:r>
    </w:p>
    <w:p>
      <w:pPr>
        <w:pStyle w:val="Normal"/>
        <w:ind w:hanging="0"/>
        <w:rPr/>
      </w:pPr>
      <w:r>
        <w:rPr/>
        <w:t>1.4.8.</w:t>
        <w:tab/>
        <w:t>Карты (схемы) существующего и планируемого размещения объектов централизованных систем холодного водоснабжения………………………………………………..........................….35</w:t>
      </w:r>
    </w:p>
    <w:p>
      <w:pPr>
        <w:pStyle w:val="Normal"/>
        <w:ind w:hanging="0"/>
        <w:rPr/>
      </w:pPr>
      <w:r>
        <w:rPr/>
        <w:t>1.5.</w:t>
        <w:tab/>
        <w:t>ЭКОЛОГИЧЕСКИЕ АСПЕКТЫ МЕРОПРИЯТИЙ ПО СТРОИТЕЛЬСТВУ, РЕКОНСТРУКЦИИ И МОДЕРНИЗАЦИИ ОБЪЕКТОВ ЦЕНТРАЛИЗОВАННЫХ СИСТЕМ ВОДОСНАБЖЕНИЯ…………………………………………………..………………………......…35</w:t>
      </w:r>
    </w:p>
    <w:p>
      <w:pPr>
        <w:pStyle w:val="Normal"/>
        <w:ind w:hanging="0"/>
        <w:rPr/>
      </w:pPr>
      <w:r>
        <w:rPr/>
        <w:t>1.5.1.</w:t>
        <w:tab/>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 ........................................................…………….35</w:t>
      </w:r>
    </w:p>
    <w:p>
      <w:pPr>
        <w:pStyle w:val="Normal"/>
        <w:ind w:hanging="0"/>
        <w:rPr/>
      </w:pPr>
      <w:r>
        <w:rPr/>
        <w:t>1.5.2.</w:t>
        <w:tab/>
        <w:t>На окружающую среду при реализации мероприятий по снабжению и хранению химических реагентов, используемых в водоподготовке (хлор и др.).</w:t>
        <w:tab/>
        <w:t>…………………………...38</w:t>
      </w:r>
    </w:p>
    <w:p>
      <w:pPr>
        <w:pStyle w:val="Normal"/>
        <w:ind w:hanging="0"/>
        <w:rPr/>
      </w:pPr>
      <w:r>
        <w:rPr/>
        <w:t>1.6.</w:t>
        <w:tab/>
        <w:t>ОЦЕНКА ОБЪЕМОВ КАПИТАЛЬНЫХ ВЛОЖЕНИЙ В СТРОИТЕЛЬСТВО, РЕКОНСТРУКЦИЮ И МОДЕРНИЗАЦИЮ ОБЪЕКТОВ ЦЕНТРАЛИЗОВАННЫХ СИСТЕМ ВОДОСНАБЖЕНИЯ…………………………………………………………………………………39</w:t>
      </w:r>
    </w:p>
    <w:p>
      <w:pPr>
        <w:pStyle w:val="Normal"/>
        <w:ind w:hanging="0"/>
        <w:rPr/>
      </w:pPr>
      <w:r>
        <w:rPr/>
        <w:t>1.6.1. Сведения о новом строительстве и реконструкции................………………………………41</w:t>
      </w:r>
    </w:p>
    <w:p>
      <w:pPr>
        <w:pStyle w:val="Normal"/>
        <w:ind w:hanging="0"/>
        <w:rPr/>
      </w:pPr>
      <w:r>
        <w:rPr/>
        <w:t>1.7.</w:t>
        <w:tab/>
        <w:t>ЦЕЛЕВЫЕ ПОКАЗАТЕЛИ РАЗВИТИЯ ЦЕНТРАЛИЗОВАННЫХ СИСТЕМ ВОДОСНАБЖЕНИЯ…………………………………………………………………………………42</w:t>
      </w:r>
    </w:p>
    <w:p>
      <w:pPr>
        <w:pStyle w:val="Normal"/>
        <w:ind w:hanging="0"/>
        <w:rPr/>
      </w:pPr>
      <w:r>
        <w:rPr/>
        <w:t>1.8.</w:t>
        <w:tab/>
        <w:t>ПЕРЕЧЕНЬ ВЫЯВЛЕННЫХ БЕСХОЗЯЙНЫХ ОБЪЕКТОВ ЦЕНТРАЛИЗОВАННЫХ СИСТЕМ ВОДОСНАБЖЕНИЯ………………………………………………………………..……42</w:t>
      </w:r>
    </w:p>
    <w:p>
      <w:pPr>
        <w:pStyle w:val="Normal"/>
        <w:ind w:hanging="0"/>
        <w:rPr/>
      </w:pPr>
      <w:r>
        <w:rPr/>
        <w:t>1.9. ЭЛЕКТРОННАЯ МОДЕЛЬ СИСТЕМЫ ВОДОСНАБЖЕНИЯ……………………………....43</w:t>
      </w:r>
    </w:p>
    <w:p>
      <w:pPr>
        <w:pStyle w:val="Normal"/>
        <w:ind w:hanging="0"/>
        <w:jc w:val="center"/>
        <w:rPr/>
      </w:pPr>
      <w:r>
        <w:rPr/>
        <w:t>ПРИЛОЖЕНИЕ...............................………………………………………………………………......44</w:t>
      </w:r>
    </w:p>
    <w:p>
      <w:pPr>
        <w:pStyle w:val="Normal"/>
        <w:ind w:hanging="0"/>
        <w:jc w:val="center"/>
        <w:rPr>
          <w:b/>
          <w:b/>
        </w:rPr>
      </w:pPr>
      <w:r>
        <w:rPr>
          <w:b/>
        </w:rPr>
      </w:r>
    </w:p>
    <w:p>
      <w:pPr>
        <w:pStyle w:val="Normal"/>
        <w:ind w:hanging="0"/>
        <w:jc w:val="center"/>
        <w:rPr>
          <w:b/>
          <w:b/>
        </w:rPr>
      </w:pPr>
      <w:r>
        <w:rPr>
          <w:b/>
        </w:rPr>
      </w:r>
    </w:p>
    <w:p>
      <w:pPr>
        <w:pStyle w:val="Normal"/>
        <w:ind w:hanging="0"/>
        <w:jc w:val="center"/>
        <w:rPr>
          <w:b/>
          <w:b/>
        </w:rPr>
      </w:pPr>
      <w:r>
        <w:rPr>
          <w:b/>
        </w:rPr>
      </w:r>
    </w:p>
    <w:p>
      <w:pPr>
        <w:pStyle w:val="Normal"/>
        <w:ind w:hanging="0"/>
        <w:jc w:val="center"/>
        <w:rPr>
          <w:b/>
          <w:b/>
        </w:rPr>
      </w:pPr>
      <w:r>
        <w:rPr>
          <w:b/>
        </w:rPr>
      </w:r>
    </w:p>
    <w:p>
      <w:pPr>
        <w:pStyle w:val="Normal"/>
        <w:ind w:hanging="0"/>
        <w:jc w:val="center"/>
        <w:rPr>
          <w:color w:val="FF0000"/>
        </w:rPr>
      </w:pPr>
      <w:bookmarkStart w:id="1" w:name="_Toc381715475"/>
      <w:bookmarkEnd w:id="1"/>
      <w:r>
        <w:rPr>
          <w:b/>
        </w:rPr>
        <w:t>ВВЕДЕНИЕ</w:t>
      </w:r>
    </w:p>
    <w:p>
      <w:pPr>
        <w:pStyle w:val="Normal"/>
        <w:spacing w:lineRule="auto" w:line="360" w:before="0" w:after="0"/>
        <w:rPr>
          <w:sz w:val="28"/>
          <w:szCs w:val="28"/>
        </w:rPr>
      </w:pPr>
      <w:r>
        <w:rPr>
          <w:sz w:val="28"/>
          <w:szCs w:val="28"/>
        </w:rPr>
        <w:t>Основанием для разработки схемы водоснабжения, Алексеевского муниципального образования Киренского района Иркутской области, являются:</w:t>
      </w:r>
    </w:p>
    <w:p>
      <w:pPr>
        <w:pStyle w:val="Normal"/>
        <w:spacing w:lineRule="auto" w:line="360" w:before="0" w:after="0"/>
        <w:rPr>
          <w:sz w:val="28"/>
          <w:szCs w:val="28"/>
        </w:rPr>
      </w:pPr>
      <w:r>
        <w:rPr>
          <w:sz w:val="28"/>
          <w:szCs w:val="28"/>
        </w:rPr>
        <w:t>- Договор № 27/19 от 11.04.2019г.</w:t>
      </w:r>
    </w:p>
    <w:p>
      <w:pPr>
        <w:pStyle w:val="13"/>
        <w:spacing w:lineRule="auto" w:line="360"/>
        <w:ind w:left="0" w:firstLine="567"/>
        <w:jc w:val="both"/>
        <w:rPr>
          <w:sz w:val="28"/>
          <w:szCs w:val="28"/>
        </w:rPr>
      </w:pPr>
      <w:r>
        <w:rPr>
          <w:sz w:val="28"/>
          <w:szCs w:val="28"/>
        </w:rPr>
        <w:t xml:space="preserve">- Федеральный </w:t>
      </w:r>
      <w:r>
        <w:rPr>
          <w:rFonts w:eastAsia="TimesNewRomanPS-BoldMT"/>
          <w:sz w:val="28"/>
          <w:szCs w:val="28"/>
        </w:rPr>
        <w:t>закон от 7 декабря 2011 г. № 416-ФЗ "О водоснабжении и водоотведении»;</w:t>
      </w:r>
    </w:p>
    <w:p>
      <w:pPr>
        <w:pStyle w:val="13"/>
        <w:spacing w:lineRule="auto" w:line="360"/>
        <w:ind w:left="0" w:firstLine="567"/>
        <w:jc w:val="both"/>
        <w:rPr>
          <w:sz w:val="28"/>
          <w:szCs w:val="28"/>
        </w:rPr>
      </w:pPr>
      <w:r>
        <w:rPr>
          <w:sz w:val="28"/>
          <w:szCs w:val="28"/>
        </w:rPr>
        <w:t>- Постановление правительства от 05.09.2013г. № 782 «О схемах  водоснабжения и водоотведения»;</w:t>
      </w:r>
    </w:p>
    <w:p>
      <w:pPr>
        <w:pStyle w:val="13"/>
        <w:spacing w:lineRule="auto" w:line="360"/>
        <w:ind w:left="0" w:firstLine="567"/>
        <w:jc w:val="both"/>
        <w:rPr>
          <w:sz w:val="28"/>
          <w:szCs w:val="28"/>
        </w:rPr>
      </w:pPr>
      <w:r>
        <w:rPr>
          <w:sz w:val="28"/>
          <w:szCs w:val="28"/>
        </w:rPr>
        <w:t xml:space="preserve">- Федеральный закон Российской Федерации от 30.12. 2004 года № 210-ФЗ  «Об основах регулирования тарифов организаций коммунального комплекса»; </w:t>
      </w:r>
    </w:p>
    <w:p>
      <w:pPr>
        <w:pStyle w:val="13"/>
        <w:spacing w:lineRule="auto" w:line="360"/>
        <w:ind w:left="0" w:firstLine="567"/>
        <w:jc w:val="both"/>
        <w:rPr>
          <w:sz w:val="28"/>
          <w:szCs w:val="28"/>
        </w:rPr>
      </w:pPr>
      <w:r>
        <w:rPr>
          <w:sz w:val="28"/>
          <w:szCs w:val="28"/>
        </w:rPr>
        <w:t>- Федеральный закон Российской Федерации от 03.06.2006 года № 74-ФЗ «Водный кодекс»;</w:t>
      </w:r>
    </w:p>
    <w:p>
      <w:pPr>
        <w:pStyle w:val="13"/>
        <w:spacing w:lineRule="auto" w:line="360"/>
        <w:ind w:left="0" w:firstLine="567"/>
        <w:jc w:val="both"/>
        <w:rPr>
          <w:sz w:val="28"/>
          <w:szCs w:val="28"/>
        </w:rPr>
      </w:pPr>
      <w:r>
        <w:rPr>
          <w:sz w:val="28"/>
          <w:szCs w:val="28"/>
        </w:rPr>
        <w:t>-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pPr>
        <w:pStyle w:val="Normal"/>
        <w:spacing w:lineRule="auto" w:line="360" w:before="0" w:after="0"/>
        <w:rPr>
          <w:sz w:val="28"/>
          <w:szCs w:val="28"/>
          <w:lang w:eastAsia="ru-RU"/>
        </w:rPr>
      </w:pPr>
      <w:r>
        <w:rPr>
          <w:sz w:val="28"/>
          <w:szCs w:val="28"/>
          <w:lang w:eastAsia="ru-RU"/>
        </w:rPr>
        <w:t>Схема водоснабжения разработана на период до 2034 года.</w:t>
      </w:r>
    </w:p>
    <w:p>
      <w:pPr>
        <w:pStyle w:val="Normal"/>
        <w:spacing w:lineRule="auto" w:line="360" w:before="0" w:after="0"/>
        <w:rPr>
          <w:sz w:val="28"/>
          <w:szCs w:val="28"/>
          <w:lang w:eastAsia="ru-RU"/>
        </w:rPr>
      </w:pPr>
      <w:r>
        <w:rPr>
          <w:sz w:val="28"/>
          <w:szCs w:val="28"/>
          <w:lang w:eastAsia="ru-RU"/>
        </w:rPr>
        <w:t xml:space="preserve">Схема включает первоочередные мероприятия по созданию и развитию централизованных систем водоснабжения, повышению надежности функционирования этих систем и обеспечивающие комфортные и безопасные условия для проживания людей в </w:t>
      </w:r>
      <w:r>
        <w:rPr>
          <w:sz w:val="28"/>
          <w:szCs w:val="28"/>
        </w:rPr>
        <w:t>муниципальном образовании</w:t>
      </w:r>
      <w:r>
        <w:rPr>
          <w:sz w:val="28"/>
          <w:szCs w:val="28"/>
          <w:lang w:eastAsia="ru-RU"/>
        </w:rPr>
        <w:t xml:space="preserve">.  </w:t>
      </w:r>
    </w:p>
    <w:p>
      <w:pPr>
        <w:pStyle w:val="Normal"/>
        <w:spacing w:lineRule="auto" w:line="360" w:before="0" w:after="0"/>
        <w:rPr>
          <w:sz w:val="28"/>
          <w:szCs w:val="28"/>
          <w:lang w:eastAsia="ru-RU"/>
        </w:rPr>
      </w:pPr>
      <w:r>
        <w:rPr>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предприятий коммунального хозяйства).  </w:t>
      </w:r>
    </w:p>
    <w:p>
      <w:pPr>
        <w:pStyle w:val="Normal"/>
        <w:spacing w:lineRule="auto" w:line="360" w:before="0" w:after="0"/>
        <w:rPr>
          <w:sz w:val="28"/>
          <w:szCs w:val="28"/>
          <w:lang w:eastAsia="ru-RU"/>
        </w:rPr>
      </w:pPr>
      <w:bookmarkStart w:id="2" w:name="_Toc381715476"/>
      <w:bookmarkStart w:id="3" w:name="_Toc380482116"/>
      <w:r>
        <w:rPr>
          <w:sz w:val="28"/>
          <w:szCs w:val="28"/>
          <w:lang w:eastAsia="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pPr>
        <w:pStyle w:val="Normal"/>
        <w:spacing w:lineRule="auto" w:line="360" w:before="0" w:after="0"/>
        <w:ind w:hanging="0"/>
        <w:jc w:val="center"/>
        <w:rPr>
          <w:rFonts w:eastAsia="TimesNewRomanPS-BoldMT"/>
          <w:b/>
          <w:b/>
        </w:rPr>
      </w:pPr>
      <w:bookmarkEnd w:id="2"/>
      <w:bookmarkEnd w:id="3"/>
      <w:r>
        <w:rPr>
          <w:rFonts w:eastAsia="TimesNewRomanPS-BoldMT"/>
          <w:b/>
        </w:rPr>
        <w:t>ОБЩИЕ СВЕДЕНИЯ</w:t>
      </w:r>
    </w:p>
    <w:p>
      <w:pPr>
        <w:pStyle w:val="Normal"/>
        <w:spacing w:lineRule="auto" w:line="360" w:before="0" w:after="0"/>
        <w:ind w:hanging="0"/>
        <w:jc w:val="center"/>
        <w:rPr>
          <w:b/>
          <w:b/>
          <w:sz w:val="28"/>
          <w:szCs w:val="28"/>
        </w:rPr>
      </w:pPr>
      <w:bookmarkStart w:id="4" w:name="_Toc380482117"/>
      <w:bookmarkStart w:id="5" w:name="_Toc373745402"/>
      <w:r>
        <w:rPr>
          <w:b/>
          <w:sz w:val="28"/>
          <w:szCs w:val="28"/>
        </w:rPr>
        <w:t xml:space="preserve">Общие сведения об </w:t>
      </w:r>
      <w:bookmarkEnd w:id="4"/>
      <w:bookmarkEnd w:id="5"/>
      <w:r>
        <w:rPr>
          <w:b/>
          <w:sz w:val="28"/>
          <w:szCs w:val="28"/>
        </w:rPr>
        <w:t>Алексеевском муниципальном образовании</w:t>
      </w:r>
    </w:p>
    <w:p>
      <w:pPr>
        <w:pStyle w:val="Style32"/>
        <w:spacing w:lineRule="auto" w:line="360"/>
        <w:rPr>
          <w:sz w:val="28"/>
        </w:rPr>
      </w:pPr>
      <w:r>
        <w:rPr>
          <w:sz w:val="28"/>
        </w:rPr>
        <w:t>Территория Алексеевского муниципального образования (далее по тексту муниципальное образование, поселение, городское поселение) расположена в центральной части  Киренского района Иркутской области. Городское поселение граничит: в северной части с Алымовским муниципальным образованием; в восточной части – с Юбилейнинским муниципальным образованием; в западной части – с Киренским муниципальным образованием; в юго-западной части с Бубновским муниципальным образованием.</w:t>
      </w:r>
    </w:p>
    <w:p>
      <w:pPr>
        <w:pStyle w:val="Style32"/>
        <w:spacing w:lineRule="auto" w:line="360"/>
        <w:rPr>
          <w:sz w:val="28"/>
        </w:rPr>
      </w:pPr>
      <w:r>
        <w:rPr>
          <w:sz w:val="28"/>
        </w:rPr>
        <w:t xml:space="preserve">Площадь поселения составляет 112091 га. Численность населения на начало 2018 г. составила 2193 чел. В границах поселения находится три населенных пункта – поселок городского типа Алексеевск, деревня Алексеевка, поселок Воронежский. </w:t>
      </w:r>
    </w:p>
    <w:p>
      <w:pPr>
        <w:pStyle w:val="Style32"/>
        <w:spacing w:lineRule="auto" w:line="360"/>
        <w:rPr>
          <w:sz w:val="28"/>
        </w:rPr>
      </w:pPr>
      <w:r>
        <w:rPr>
          <w:sz w:val="28"/>
        </w:rPr>
        <w:t xml:space="preserve">Большая часть территории поселения занята лесными массивами с преобладанием хвойных пород деревьев. По территории поселения протекает большое количество рек и ручьёв, самые крупные из которых река Лена. Населённые пункты расположены по берегам реки Лена, которая протекает с запада на север по территории муниципального образования. </w:t>
      </w:r>
    </w:p>
    <w:p>
      <w:pPr>
        <w:pStyle w:val="Style32"/>
        <w:spacing w:lineRule="auto" w:line="360"/>
        <w:rPr>
          <w:sz w:val="28"/>
        </w:rPr>
      </w:pPr>
      <w:r>
        <w:rPr>
          <w:sz w:val="28"/>
        </w:rPr>
        <w:t>Внешние транспортные связи п. Алексеевск, п. Воронежский и д. Алексеевка, входящих в состав городского поселения, обеспечиваются автомобильным и водным транспортом. Через территорию Алексеевского муниципального образования по р. Лена проходит маршрут речного транспорта регионального значения, по которому осуществляется доставка грузов и пассажиров в период навигации.</w:t>
      </w:r>
    </w:p>
    <w:p>
      <w:pPr>
        <w:pStyle w:val="Style32"/>
        <w:spacing w:lineRule="auto" w:line="360"/>
        <w:rPr>
          <w:sz w:val="28"/>
        </w:rPr>
      </w:pPr>
      <w:bookmarkStart w:id="6" w:name="_Toc256105148"/>
      <w:bookmarkStart w:id="7" w:name="_Toc290568353"/>
      <w:bookmarkStart w:id="8" w:name="_Toc357638100"/>
      <w:r>
        <w:rPr>
          <w:sz w:val="28"/>
        </w:rPr>
        <w:t>Основным видом деятельности жителей Алексеевского муниципального образования является сельское хозяйство, охота, рыболовство, и лесозаготовка.</w:t>
      </w:r>
    </w:p>
    <w:p>
      <w:pPr>
        <w:pStyle w:val="Style32"/>
        <w:spacing w:lineRule="auto" w:line="360"/>
        <w:rPr>
          <w:sz w:val="28"/>
        </w:rPr>
      </w:pPr>
      <w:r>
        <w:rPr>
          <w:sz w:val="28"/>
        </w:rPr>
      </w:r>
    </w:p>
    <w:p>
      <w:pPr>
        <w:pStyle w:val="Style32"/>
        <w:spacing w:lineRule="auto" w:line="360"/>
        <w:rPr>
          <w:sz w:val="28"/>
        </w:rPr>
      </w:pPr>
      <w:r>
        <w:rPr>
          <w:sz w:val="28"/>
        </w:rPr>
      </w:r>
    </w:p>
    <w:p>
      <w:pPr>
        <w:pStyle w:val="Style32"/>
        <w:spacing w:lineRule="auto" w:line="360"/>
        <w:rPr>
          <w:sz w:val="28"/>
        </w:rPr>
      </w:pPr>
      <w:r>
        <w:rPr>
          <w:b/>
          <w:bCs/>
          <w:sz w:val="28"/>
        </w:rPr>
        <w:t>Климат</w:t>
      </w:r>
      <w:bookmarkEnd w:id="6"/>
      <w:bookmarkEnd w:id="7"/>
      <w:bookmarkEnd w:id="8"/>
      <w:r>
        <w:rPr>
          <w:sz w:val="28"/>
        </w:rPr>
        <w:t xml:space="preserve"> </w:t>
      </w:r>
    </w:p>
    <w:p>
      <w:pPr>
        <w:pStyle w:val="Style32"/>
        <w:spacing w:lineRule="auto" w:line="360"/>
        <w:rPr>
          <w:sz w:val="28"/>
        </w:rPr>
      </w:pPr>
      <w:r>
        <w:rPr>
          <w:sz w:val="28"/>
          <w:szCs w:val="28"/>
        </w:rPr>
        <w:t>По строительно-климатическому районированию (СНиП 23-01-99* «Строительная климатология») Алексеевское муниципальное образование относится к климатическому району IД.</w:t>
      </w:r>
    </w:p>
    <w:p>
      <w:pPr>
        <w:pStyle w:val="Style32"/>
        <w:spacing w:lineRule="auto" w:line="360"/>
        <w:rPr>
          <w:sz w:val="28"/>
          <w:szCs w:val="28"/>
        </w:rPr>
      </w:pPr>
      <w:r>
        <w:rPr>
          <w:sz w:val="28"/>
          <w:szCs w:val="28"/>
        </w:rPr>
        <w:t xml:space="preserve">Климат резко-континентальный, с долгой зимой и коротким летом. Среднегодовая температура воздуха отрицательная и составляет -4,5°С. </w:t>
      </w:r>
    </w:p>
    <w:p>
      <w:pPr>
        <w:pStyle w:val="Style32"/>
        <w:spacing w:lineRule="auto" w:line="360"/>
        <w:rPr>
          <w:sz w:val="28"/>
          <w:szCs w:val="28"/>
        </w:rPr>
      </w:pPr>
      <w:bookmarkStart w:id="9" w:name="_Toc357638101"/>
      <w:r>
        <w:rPr>
          <w:sz w:val="28"/>
          <w:szCs w:val="28"/>
        </w:rPr>
        <w:t>Зима длится в среднем 190-195 дней, начиная с середины сентября и заканчивая концом апреля. Среднемесячная температура воздуха в январе составляет - 27°С. Зимние осадки составляют 25-30% от годовой суммы, которая колеблется по годам от 270 до 420 мм. Мощность снежного покрова, в среднем, составляет 25-35 см. Средняя температура воздуха летом колеблется в пределах 17°-19°С.  На лето приходится наибольшая доля годовых осадков – до 55-60%. В переходные сезоны года – весну и осень – отмечаются наиболее частые ветры, сила которых может достигать иногда 20-25 м/сек при средних показателях 3-5 м/сек.</w:t>
      </w:r>
    </w:p>
    <w:p>
      <w:pPr>
        <w:pStyle w:val="Style32"/>
        <w:shd w:val="clear" w:color="auto" w:fill="FFFFFF" w:themeFill="background1"/>
        <w:spacing w:lineRule="auto" w:line="360" w:before="0" w:after="240"/>
        <w:rPr>
          <w:rStyle w:val="Style19"/>
          <w:b w:val="false"/>
          <w:b w:val="false"/>
          <w:bCs w:val="false"/>
          <w:i w:val="false"/>
          <w:i w:val="false"/>
          <w:iCs w:val="false"/>
          <w:color w:val="000000" w:themeColor="text1"/>
          <w:sz w:val="32"/>
          <w:szCs w:val="28"/>
        </w:rPr>
      </w:pPr>
      <w:bookmarkEnd w:id="9"/>
      <w:r>
        <w:rPr>
          <w:rStyle w:val="Style19"/>
          <w:i w:val="false"/>
          <w:iCs w:val="false"/>
          <w:color w:val="000000" w:themeColor="text1"/>
          <w:sz w:val="28"/>
        </w:rPr>
        <w:t>Геологическое строение и рельеф</w:t>
      </w:r>
    </w:p>
    <w:p>
      <w:pPr>
        <w:pStyle w:val="Style32"/>
        <w:spacing w:lineRule="auto" w:line="360" w:before="0" w:after="0"/>
        <w:rPr>
          <w:sz w:val="28"/>
        </w:rPr>
      </w:pPr>
      <w:r>
        <w:rPr>
          <w:sz w:val="28"/>
        </w:rPr>
        <w:t xml:space="preserve">Алексеевское муниципальное образование расположено в пределах Сибирской платформы, состоящей из двух ярусов. Нижний ярус – это кристаллическое основание платформы, сложенное докембрийскими комплексами пород (гнейсы, мраморы, кристаллические известняки и др.). Верхний ярус – это чехол платформы, сложенный осадочными и метаморфическими породами разного возраста (песчаники, алевролиты, доломиты, известняки и др.). </w:t>
      </w:r>
    </w:p>
    <w:p>
      <w:pPr>
        <w:pStyle w:val="Style32"/>
        <w:spacing w:lineRule="auto" w:line="360"/>
        <w:rPr>
          <w:sz w:val="28"/>
        </w:rPr>
      </w:pPr>
      <w:r>
        <w:rPr>
          <w:sz w:val="28"/>
        </w:rPr>
        <w:t>Рельеф территории Алексеевского муниципального образования представлен равнинной морфоструктурой Приленского плато. Оно начинается в виде узкой (вдоль реки) полосы в правобережье Лены и продолжается в ее левобережной части. Здесь преобладают абсолютные отметки высот в рельефе 400-600 м. Плато имеет большую степень горизонтального и вертикального расчленения речной сетью, благодаря чему в межречных пространствах образуются линейно вытянутые массивы.</w:t>
      </w:r>
    </w:p>
    <w:p>
      <w:pPr>
        <w:pStyle w:val="Style32"/>
        <w:spacing w:lineRule="auto" w:line="360"/>
        <w:rPr>
          <w:sz w:val="28"/>
        </w:rPr>
      </w:pPr>
      <w:r>
        <w:rPr>
          <w:sz w:val="28"/>
        </w:rPr>
        <w:t>Территория Алексеевского муниципального образования относится к Ленскому гидролого-морфологическому району. Гидрографическая сеть поселения представлена множеством рек и ручьев. Главной речной артерией, прорезающей территорию поселения в северо-западном направлении, является река Лена, с притоками р. Кутулак, р. Рассоха.</w:t>
      </w:r>
    </w:p>
    <w:p>
      <w:pPr>
        <w:pStyle w:val="Normal"/>
        <w:spacing w:lineRule="exact" w:line="413" w:before="0" w:after="0"/>
        <w:ind w:hanging="0"/>
        <w:jc w:val="center"/>
        <w:rPr>
          <w:b/>
          <w:b/>
          <w:sz w:val="28"/>
          <w:szCs w:val="28"/>
        </w:rPr>
      </w:pPr>
      <w:bookmarkStart w:id="10" w:name="_Toc381715477"/>
      <w:r>
        <w:rPr>
          <w:b/>
          <w:sz w:val="28"/>
          <w:szCs w:val="28"/>
        </w:rPr>
        <w:t>1. СХЕМА ВОДОСНАБЖЕНИЯ</w:t>
      </w:r>
      <w:bookmarkEnd w:id="10"/>
      <w:r>
        <w:rPr>
          <w:b/>
          <w:sz w:val="28"/>
          <w:szCs w:val="28"/>
        </w:rPr>
        <w:t>.</w:t>
      </w:r>
    </w:p>
    <w:p>
      <w:pPr>
        <w:pStyle w:val="Normal"/>
        <w:spacing w:lineRule="auto" w:line="360" w:before="0" w:after="0"/>
        <w:rPr>
          <w:sz w:val="28"/>
          <w:szCs w:val="28"/>
        </w:rPr>
      </w:pPr>
      <w:r>
        <w:rPr>
          <w:sz w:val="28"/>
          <w:szCs w:val="28"/>
        </w:rPr>
      </w:r>
    </w:p>
    <w:p>
      <w:pPr>
        <w:pStyle w:val="2"/>
        <w:numPr>
          <w:ilvl w:val="1"/>
          <w:numId w:val="2"/>
        </w:numPr>
        <w:spacing w:lineRule="auto" w:line="360" w:before="0" w:after="200"/>
        <w:ind w:left="0" w:hanging="0"/>
        <w:jc w:val="center"/>
        <w:rPr>
          <w:sz w:val="28"/>
          <w:szCs w:val="28"/>
        </w:rPr>
      </w:pPr>
      <w:bookmarkStart w:id="11" w:name="_Toc381715478"/>
      <w:r>
        <w:rPr>
          <w:sz w:val="28"/>
          <w:szCs w:val="28"/>
        </w:rPr>
        <w:t>ТЕХНИКО-ЭКОНОМИЧЕСКОЕ СОСТОЯНИЕ ЦЕНТРАЛИЗОВАННЫХ  СИСТЕМ  ВОДОСНАБЖЕНИЯ ПОСЕЛЕНИЯ</w:t>
      </w:r>
      <w:bookmarkEnd w:id="11"/>
      <w:r>
        <w:rPr>
          <w:sz w:val="28"/>
          <w:szCs w:val="28"/>
        </w:rPr>
        <w:t>.</w:t>
      </w:r>
    </w:p>
    <w:p>
      <w:pPr>
        <w:pStyle w:val="Normal"/>
        <w:spacing w:lineRule="auto" w:line="360" w:before="0" w:after="0"/>
        <w:rPr>
          <w:sz w:val="28"/>
          <w:szCs w:val="28"/>
        </w:rPr>
      </w:pPr>
      <w:r>
        <w:rPr>
          <w:sz w:val="28"/>
          <w:szCs w:val="28"/>
        </w:rPr>
      </w:r>
    </w:p>
    <w:p>
      <w:pPr>
        <w:pStyle w:val="2"/>
        <w:numPr>
          <w:ilvl w:val="2"/>
          <w:numId w:val="2"/>
        </w:numPr>
        <w:spacing w:lineRule="auto" w:line="360" w:before="0" w:after="200"/>
        <w:ind w:left="0" w:firstLine="567"/>
        <w:rPr>
          <w:sz w:val="28"/>
          <w:szCs w:val="28"/>
        </w:rPr>
      </w:pPr>
      <w:bookmarkStart w:id="12" w:name="_Toc381715479"/>
      <w:bookmarkStart w:id="13" w:name="_Toc380482119"/>
      <w:r>
        <w:rPr>
          <w:sz w:val="28"/>
          <w:szCs w:val="28"/>
        </w:rPr>
        <w:t>Описание системы и структуры водоснабжения и деление территории поселения на  эксплуатационные зоны</w:t>
      </w:r>
      <w:bookmarkEnd w:id="12"/>
      <w:bookmarkEnd w:id="13"/>
      <w:r>
        <w:rPr>
          <w:sz w:val="28"/>
          <w:szCs w:val="28"/>
        </w:rPr>
        <w:t>.</w:t>
      </w:r>
    </w:p>
    <w:p>
      <w:pPr>
        <w:pStyle w:val="Style32"/>
        <w:spacing w:lineRule="auto" w:line="360" w:before="0" w:after="0"/>
        <w:rPr>
          <w:color w:val="000000" w:themeColor="text1"/>
          <w:sz w:val="28"/>
          <w:szCs w:val="28"/>
        </w:rPr>
      </w:pPr>
      <w:r>
        <w:rPr>
          <w:color w:val="000000" w:themeColor="text1"/>
          <w:sz w:val="28"/>
          <w:szCs w:val="28"/>
        </w:rPr>
        <w:t xml:space="preserve">Приоритетными источниками системы водоснабжения Алексеевского муниципального образования являются поверхностные воды. </w:t>
      </w:r>
    </w:p>
    <w:p>
      <w:pPr>
        <w:pStyle w:val="Style32"/>
        <w:spacing w:lineRule="auto" w:line="360" w:before="0" w:after="0"/>
        <w:rPr>
          <w:color w:val="000000" w:themeColor="text1"/>
          <w:sz w:val="28"/>
          <w:szCs w:val="28"/>
        </w:rPr>
      </w:pPr>
      <w:r>
        <w:rPr>
          <w:sz w:val="28"/>
          <w:szCs w:val="28"/>
        </w:rPr>
        <w:t xml:space="preserve">Основная часть населения (п.Алексеевск) снабжается водой за счет забора воды из ключа, а именно в месте выхода его на поверхность, с помощью каптажных камер вода попадает в накопительный резервуар чистой воды. Из  напорно-регулирующего резервуара «самотёком» вода поступает в разводящую  сеть посёлка. Напор в водопроводной сети создаётся за счёт геометрической  разности в отметках выхода ключей и территории жилого посёлка. </w:t>
      </w:r>
      <w:r>
        <w:rPr>
          <w:color w:val="000000" w:themeColor="text1"/>
          <w:sz w:val="28"/>
          <w:szCs w:val="28"/>
        </w:rPr>
        <w:t>Другая часть п.Алексеевск обеспечивается водой за счет индивидуальных водозаборных скважин, шахтных колодцев, водозаборных колонок общего пользования, а также за счет воды, привезенной на специализированных машинах.</w:t>
      </w:r>
    </w:p>
    <w:p>
      <w:pPr>
        <w:pStyle w:val="Style32"/>
        <w:spacing w:lineRule="auto" w:line="360" w:before="0" w:after="0"/>
        <w:rPr>
          <w:color w:val="000000" w:themeColor="text1"/>
          <w:sz w:val="28"/>
          <w:szCs w:val="28"/>
        </w:rPr>
      </w:pPr>
      <w:r>
        <w:rPr>
          <w:color w:val="000000" w:themeColor="text1"/>
          <w:sz w:val="28"/>
          <w:szCs w:val="28"/>
        </w:rPr>
        <w:t xml:space="preserve">В поселке городского типа Алексеевск, вся малоэтажная  застройка охвачена централизованной системой водоснабжения, лишь очень незначительная часть поселка (5 - 10 домов) обеспечивается водой за счет индивидуальных скважин. Водозабор осуществляется от поверхностного источника, расположенного в южной части поселка. На рисунках 1; 1.1, указана зона поверхностного источника водоснабжения п. Алексеевск. </w:t>
      </w:r>
    </w:p>
    <w:p>
      <w:pPr>
        <w:pStyle w:val="Style32"/>
        <w:spacing w:lineRule="auto" w:line="360"/>
        <w:rPr>
          <w:color w:val="000000" w:themeColor="text1"/>
          <w:sz w:val="28"/>
          <w:szCs w:val="28"/>
        </w:rPr>
      </w:pPr>
      <w:r>
        <w:rPr>
          <w:color w:val="000000" w:themeColor="text1"/>
          <w:sz w:val="28"/>
          <w:szCs w:val="28"/>
        </w:rPr>
      </w:r>
    </w:p>
    <w:p>
      <w:pPr>
        <w:pStyle w:val="Style32"/>
        <w:spacing w:lineRule="auto" w:line="276"/>
        <w:jc w:val="right"/>
        <w:rPr>
          <w:color w:val="000000" w:themeColor="text1"/>
        </w:rPr>
      </w:pPr>
      <w:r>
        <mc:AlternateContent>
          <mc:Choice Requires="wps">
            <w:drawing>
              <wp:anchor behindDoc="0" distT="0" distB="0" distL="114300" distR="114300" simplePos="0" locked="0" layoutInCell="1" allowOverlap="1" relativeHeight="4">
                <wp:simplePos x="0" y="0"/>
                <wp:positionH relativeFrom="column">
                  <wp:posOffset>32385</wp:posOffset>
                </wp:positionH>
                <wp:positionV relativeFrom="paragraph">
                  <wp:posOffset>-43180</wp:posOffset>
                </wp:positionV>
                <wp:extent cx="6301105" cy="2686685"/>
                <wp:effectExtent l="19050" t="19050" r="24130" b="19050"/>
                <wp:wrapThrough wrapText="bothSides">
                  <wp:wrapPolygon edited="0">
                    <wp:start x="-65" y="-153"/>
                    <wp:lineTo x="-65" y="21753"/>
                    <wp:lineTo x="21683" y="21753"/>
                    <wp:lineTo x="21683" y="-153"/>
                    <wp:lineTo x="-65" y="-153"/>
                  </wp:wrapPolygon>
                </wp:wrapThrough>
                <wp:docPr id="5" name="Рисунок 5" descr="алексеевское 1 - копия (2).png"/>
                <a:graphic xmlns:a="http://schemas.openxmlformats.org/drawingml/2006/main">
                  <a:graphicData uri="http://schemas.openxmlformats.org/drawingml/2006/picture">
                    <pic:pic xmlns:pic="http://schemas.openxmlformats.org/drawingml/2006/picture">
                      <pic:nvPicPr>
                        <pic:cNvPr id="0" name="Рисунок 5" descr="алексеевское 1 - копия (2).png"/>
                        <pic:cNvPicPr/>
                      </pic:nvPicPr>
                      <pic:blipFill>
                        <a:blip r:embed="rId4"/>
                        <a:stretch/>
                      </pic:blipFill>
                      <pic:spPr>
                        <a:xfrm>
                          <a:off x="0" y="0"/>
                          <a:ext cx="6300360" cy="2685960"/>
                        </a:xfrm>
                        <a:prstGeom prst="rect">
                          <a:avLst/>
                        </a:prstGeom>
                        <a:ln w="3240">
                          <a:solidFill>
                            <a:srgbClr val="000000"/>
                          </a:solidFill>
                          <a:miter/>
                        </a:ln>
                        <a:effectLst>
                          <a:innerShdw blurRad="76200">
                            <a:srgbClr val="000000"/>
                          </a:innerShdw>
                        </a:effectLst>
                      </pic:spPr>
                    </pic:pic>
                  </a:graphicData>
                </a:graphic>
              </wp:anchor>
            </w:drawing>
          </mc:Choice>
          <mc:Fallback>
            <w:pict>
              <v:rect id="shape_0" ID="Рисунок 5" stroked="t" style="position:absolute;margin-left:2.55pt;margin-top:-3.4pt;width:496.05pt;height:211.45pt">
                <v:imagedata r:id="rId4" o:detectmouseclick="t"/>
                <w10:wrap type="none"/>
                <v:stroke color="black" weight="3240" joinstyle="miter" endcap="flat"/>
              </v:rect>
            </w:pict>
          </mc:Fallback>
        </mc:AlternateContent>
      </w:r>
      <w:r>
        <w:rPr>
          <w:color w:val="000000" w:themeColor="text1"/>
        </w:rPr>
        <w:t>Рис. 1 - Зона водозабора от поверхностного источника</w:t>
      </w:r>
    </w:p>
    <w:p>
      <w:pPr>
        <w:pStyle w:val="Style32"/>
        <w:spacing w:lineRule="auto" w:line="360"/>
        <w:jc w:val="right"/>
        <w:rPr>
          <w:color w:val="000000" w:themeColor="text1"/>
        </w:rPr>
      </w:pPr>
      <w:r>
        <mc:AlternateContent>
          <mc:Choice Requires="wps">
            <w:drawing>
              <wp:anchor behindDoc="0" distT="0" distB="0" distL="114300" distR="114300" simplePos="0" locked="0" layoutInCell="1" allowOverlap="1" relativeHeight="5">
                <wp:simplePos x="0" y="0"/>
                <wp:positionH relativeFrom="column">
                  <wp:posOffset>32385</wp:posOffset>
                </wp:positionH>
                <wp:positionV relativeFrom="paragraph">
                  <wp:posOffset>86360</wp:posOffset>
                </wp:positionV>
                <wp:extent cx="6229350" cy="3829685"/>
                <wp:effectExtent l="19050" t="19050" r="19685" b="19050"/>
                <wp:wrapThrough wrapText="bothSides">
                  <wp:wrapPolygon edited="0">
                    <wp:start x="-66" y="-107"/>
                    <wp:lineTo x="-66" y="21707"/>
                    <wp:lineTo x="21668" y="21707"/>
                    <wp:lineTo x="21668" y="-107"/>
                    <wp:lineTo x="-66" y="-107"/>
                  </wp:wrapPolygon>
                </wp:wrapThrough>
                <wp:docPr id="6" name="Рисунок 3" descr="алексеевское 1 - копия.png"/>
                <a:graphic xmlns:a="http://schemas.openxmlformats.org/drawingml/2006/main">
                  <a:graphicData uri="http://schemas.openxmlformats.org/drawingml/2006/picture">
                    <pic:pic xmlns:pic="http://schemas.openxmlformats.org/drawingml/2006/picture">
                      <pic:nvPicPr>
                        <pic:cNvPr id="1" name="Рисунок 3" descr="алексеевское 1 - копия.png"/>
                        <pic:cNvPicPr/>
                      </pic:nvPicPr>
                      <pic:blipFill>
                        <a:blip r:embed="rId5"/>
                        <a:stretch/>
                      </pic:blipFill>
                      <pic:spPr>
                        <a:xfrm>
                          <a:off x="0" y="0"/>
                          <a:ext cx="6228720" cy="3828960"/>
                        </a:xfrm>
                        <a:prstGeom prst="rect">
                          <a:avLst/>
                        </a:prstGeom>
                        <a:ln w="3240">
                          <a:solidFill>
                            <a:srgbClr val="000000"/>
                          </a:solidFill>
                          <a:miter/>
                        </a:ln>
                        <a:effectLst>
                          <a:innerShdw blurRad="76200">
                            <a:srgbClr val="000000"/>
                          </a:innerShdw>
                        </a:effectLst>
                      </pic:spPr>
                    </pic:pic>
                  </a:graphicData>
                </a:graphic>
              </wp:anchor>
            </w:drawing>
          </mc:Choice>
          <mc:Fallback>
            <w:pict>
              <v:rect id="shape_0" ID="Рисунок 3" stroked="t" style="position:absolute;margin-left:2.55pt;margin-top:6.8pt;width:490.4pt;height:301.45pt">
                <v:imagedata r:id="rId5" o:detectmouseclick="t"/>
                <w10:wrap type="none"/>
                <v:stroke color="black" weight="3240" joinstyle="miter" endcap="flat"/>
              </v:rect>
            </w:pict>
          </mc:Fallback>
        </mc:AlternateContent>
      </w:r>
      <w:r>
        <w:rPr>
          <w:color w:val="000000" w:themeColor="text1"/>
        </w:rPr>
        <w:t>Рис. 1.1 - Зона водозабора от поверхностного источника</w:t>
      </w:r>
    </w:p>
    <w:p>
      <w:pPr>
        <w:pStyle w:val="Style32"/>
        <w:spacing w:lineRule="auto" w:line="360"/>
        <w:rPr>
          <w:color w:val="000000" w:themeColor="text1"/>
          <w:sz w:val="28"/>
          <w:szCs w:val="28"/>
        </w:rPr>
      </w:pPr>
      <w:r>
        <w:rPr>
          <w:color w:val="000000" w:themeColor="text1"/>
          <w:sz w:val="28"/>
          <w:szCs w:val="28"/>
        </w:rPr>
        <w:t>В д. Алексеевка и п. Воронежский, население снабжается водой за счет индивидуальных водозаборных скважин, шахтных колодцев, а так же водой доставленной автотранспортом от поверхностных источников.</w:t>
      </w:r>
    </w:p>
    <w:p>
      <w:pPr>
        <w:pStyle w:val="2"/>
        <w:numPr>
          <w:ilvl w:val="2"/>
          <w:numId w:val="2"/>
        </w:numPr>
        <w:spacing w:lineRule="auto" w:line="360" w:before="120" w:after="240"/>
        <w:ind w:left="0" w:firstLine="567"/>
        <w:rPr>
          <w:sz w:val="28"/>
          <w:szCs w:val="28"/>
        </w:rPr>
      </w:pPr>
      <w:bookmarkStart w:id="14" w:name="_Toc381715480"/>
      <w:bookmarkStart w:id="15" w:name="_Toc380482120"/>
      <w:r>
        <w:rPr>
          <w:sz w:val="28"/>
          <w:szCs w:val="28"/>
        </w:rPr>
        <w:t>Описание территорий  муниципального образования, не охваченные централизованными системами водоснабжения</w:t>
      </w:r>
      <w:bookmarkEnd w:id="14"/>
      <w:bookmarkEnd w:id="15"/>
      <w:r>
        <w:rPr>
          <w:sz w:val="28"/>
          <w:szCs w:val="28"/>
        </w:rPr>
        <w:t>.</w:t>
      </w:r>
    </w:p>
    <w:p>
      <w:pPr>
        <w:pStyle w:val="Normal"/>
        <w:spacing w:lineRule="auto" w:line="360" w:before="0" w:after="0"/>
        <w:rPr>
          <w:sz w:val="28"/>
          <w:szCs w:val="28"/>
        </w:rPr>
      </w:pPr>
      <w:r>
        <w:rPr>
          <w:sz w:val="28"/>
          <w:szCs w:val="28"/>
        </w:rPr>
        <w:t>На данный момент в Алексеевском  муниципальном образовании территориями, не охваченного централизованного водоснабжения, являются д. Алексеевка и п. Воронежский.</w:t>
      </w:r>
    </w:p>
    <w:p>
      <w:pPr>
        <w:pStyle w:val="Normal"/>
        <w:spacing w:lineRule="auto" w:line="360" w:before="0" w:after="0"/>
        <w:rPr>
          <w:sz w:val="28"/>
          <w:szCs w:val="28"/>
        </w:rPr>
      </w:pPr>
      <w:r>
        <w:rPr>
          <w:color w:val="000000" w:themeColor="text1"/>
          <w:sz w:val="28"/>
          <w:szCs w:val="28"/>
        </w:rPr>
        <w:t xml:space="preserve">В п. Воронежский жилые территории представлены в виде индивидуальных жилых построек, а так же малоэтажной жилой застройки, что составляет 99% от всех застроек в поселке. </w:t>
      </w:r>
    </w:p>
    <w:p>
      <w:pPr>
        <w:pStyle w:val="Style32"/>
        <w:spacing w:lineRule="auto" w:line="360" w:before="0" w:after="0"/>
        <w:rPr>
          <w:sz w:val="28"/>
          <w:szCs w:val="28"/>
        </w:rPr>
      </w:pPr>
      <w:r>
        <w:rPr>
          <w:color w:val="000000" w:themeColor="text1"/>
          <w:sz w:val="28"/>
          <w:szCs w:val="28"/>
        </w:rPr>
        <w:t xml:space="preserve">В д. Алексеевка </w:t>
      </w:r>
      <w:r>
        <w:rPr>
          <w:sz w:val="28"/>
        </w:rPr>
        <w:t>жилые территории представлены индивидуальной жилой застройкой, что составляет 0,9 га.</w:t>
      </w:r>
      <w:r>
        <w:rPr/>
        <w:t xml:space="preserve"> </w:t>
      </w:r>
      <w:r>
        <w:rPr>
          <w:sz w:val="28"/>
          <w:szCs w:val="28"/>
        </w:rPr>
        <w:t xml:space="preserve">Плотность населения в границах жилых территорий составляет 4 чел./га. </w:t>
      </w:r>
    </w:p>
    <w:p>
      <w:pPr>
        <w:pStyle w:val="Style32"/>
        <w:spacing w:lineRule="auto" w:line="360" w:before="0" w:after="0"/>
        <w:rPr>
          <w:sz w:val="28"/>
          <w:szCs w:val="28"/>
        </w:rPr>
      </w:pPr>
      <w:r>
        <w:rPr>
          <w:sz w:val="28"/>
          <w:szCs w:val="28"/>
        </w:rPr>
        <w:t>Ввиду удаленности поселков Алексеевка и Воронежский от административного центра п. Алексеевск, а так же ввиду незначительной численности населения в указанных поселках планировать перспективное развитие централизованного водоснабжения не целесообразно.</w:t>
      </w:r>
    </w:p>
    <w:p>
      <w:pPr>
        <w:pStyle w:val="2"/>
        <w:numPr>
          <w:ilvl w:val="0"/>
          <w:numId w:val="0"/>
        </w:numPr>
        <w:spacing w:lineRule="auto" w:line="360" w:before="120" w:after="240"/>
        <w:ind w:firstLine="567"/>
        <w:rPr>
          <w:sz w:val="28"/>
          <w:szCs w:val="28"/>
        </w:rPr>
      </w:pPr>
      <w:bookmarkStart w:id="16" w:name="_Toc381715481"/>
      <w:bookmarkStart w:id="17" w:name="_Toc380482121"/>
      <w:r>
        <w:rPr>
          <w:sz w:val="28"/>
          <w:szCs w:val="28"/>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6"/>
      <w:bookmarkEnd w:id="17"/>
      <w:r>
        <w:rPr>
          <w:sz w:val="28"/>
          <w:szCs w:val="28"/>
        </w:rPr>
        <w:t>.</w:t>
      </w:r>
    </w:p>
    <w:p>
      <w:pPr>
        <w:pStyle w:val="Normal"/>
        <w:spacing w:lineRule="auto" w:line="360" w:before="0" w:after="0"/>
        <w:rPr>
          <w:sz w:val="28"/>
          <w:szCs w:val="28"/>
        </w:rPr>
      </w:pPr>
      <w:r>
        <w:rPr>
          <w:sz w:val="28"/>
          <w:szCs w:val="28"/>
        </w:rPr>
        <w:t>В Алексеевском муниципальном образовании забор воды осуществляется из ручья. Место его нахождения можно увидеть на рисунках 1 и 1.1.</w:t>
      </w:r>
    </w:p>
    <w:p>
      <w:pPr>
        <w:pStyle w:val="Normal"/>
        <w:suppressAutoHyphens w:val="true"/>
        <w:spacing w:lineRule="auto" w:line="360" w:before="0" w:after="0"/>
        <w:rPr>
          <w:sz w:val="28"/>
          <w:szCs w:val="28"/>
        </w:rPr>
      </w:pPr>
      <w:r>
        <w:rPr>
          <w:sz w:val="28"/>
          <w:szCs w:val="28"/>
        </w:rPr>
        <w:t xml:space="preserve">Ручей №1 образуется за счёт выхода на поверхность ключей, питающихся за счёт трещинных вод (выход ключей находится на склоне горы на отметке 294,0 метра, что значительно выше территории посёлка). Ручей протекает по центральной части поселка и впадает в р. Лена. Длина ручья примерно составляет 1200 метров, в течение года ручей не пересыхает и не перемерзает. </w:t>
      </w:r>
    </w:p>
    <w:p>
      <w:pPr>
        <w:pStyle w:val="Normal"/>
        <w:suppressAutoHyphens w:val="true"/>
        <w:spacing w:lineRule="auto" w:line="360" w:before="0" w:after="0"/>
        <w:rPr>
          <w:sz w:val="28"/>
          <w:szCs w:val="28"/>
        </w:rPr>
      </w:pPr>
      <w:r>
        <w:rPr>
          <w:sz w:val="28"/>
          <w:szCs w:val="28"/>
        </w:rPr>
        <w:t xml:space="preserve">Гидрологические наблюдения не производились и не производятся. Ручей №1 не является водным объектом рыбохозяйственного значения. </w:t>
      </w:r>
    </w:p>
    <w:p>
      <w:pPr>
        <w:pStyle w:val="Normal"/>
        <w:spacing w:lineRule="auto" w:line="360" w:before="0" w:after="0"/>
        <w:rPr>
          <w:sz w:val="28"/>
        </w:rPr>
      </w:pPr>
      <w:r>
        <w:rPr>
          <w:sz w:val="28"/>
          <w:szCs w:val="28"/>
        </w:rPr>
        <w:t xml:space="preserve"> </w:t>
      </w:r>
      <w:r>
        <w:rPr>
          <w:sz w:val="28"/>
          <w:szCs w:val="28"/>
        </w:rPr>
        <w:t xml:space="preserve">Вода  ключей  через  гравийный  фильтр  поступает  в  каптажные  камеры,  которые представляют собой круглый смотровой колодец из сборного  железобетона диаметром 1,5 метр высотой 3 метра. Камера обеспечивает  поступление внутрь ключевой воды через водоприёмные отверстия,  расположенные по периметру стенок камер. Для перехвата возможно большего  количества воды при каптаже предусмотрено устройство между каптажными камерами из улавливающих стенок из плотно утрамбованного глинистого грунта  с щебёночными или гравийными призмами перед стенками и песчаной  отсыпкой. </w:t>
      </w:r>
      <w:r>
        <w:rPr>
          <w:sz w:val="28"/>
        </w:rPr>
        <w:t>Из каптажных камер вода по трубам отводится в напорно-регулирующий  резервуар. Из  напорно-регулирующего  резервуара  самотёком  вода  поступает  в  разводящую сеть посёлка. Напор в водопроводной сети создаётся за счёт  геометрической разности в отметках выхода ключей и территории жилого  посёлка.</w:t>
      </w:r>
    </w:p>
    <w:p>
      <w:pPr>
        <w:pStyle w:val="Normal"/>
        <w:spacing w:lineRule="auto" w:line="360" w:before="0" w:after="0"/>
        <w:rPr>
          <w:sz w:val="28"/>
          <w:szCs w:val="28"/>
        </w:rPr>
      </w:pPr>
      <w:r>
        <w:rPr>
          <w:sz w:val="28"/>
          <w:szCs w:val="28"/>
        </w:rPr>
        <w:t>Горячее водоснабжение в поселении отсутствует. На перспективу развития до 2034 года не планируется.</w:t>
      </w:r>
    </w:p>
    <w:p>
      <w:pPr>
        <w:pStyle w:val="2"/>
        <w:numPr>
          <w:ilvl w:val="0"/>
          <w:numId w:val="0"/>
        </w:numPr>
        <w:spacing w:lineRule="auto" w:line="360" w:before="120" w:after="240"/>
        <w:ind w:firstLine="567"/>
        <w:rPr>
          <w:sz w:val="28"/>
          <w:szCs w:val="28"/>
        </w:rPr>
      </w:pPr>
      <w:bookmarkStart w:id="18" w:name="_Toc381715482"/>
      <w:bookmarkStart w:id="19" w:name="_Toc380482122"/>
      <w:r>
        <w:rPr>
          <w:sz w:val="28"/>
          <w:szCs w:val="28"/>
        </w:rPr>
        <w:t>1.1.4. Описание результатов технического обследования централизованных систем водоснабжения</w:t>
      </w:r>
      <w:bookmarkEnd w:id="18"/>
      <w:bookmarkEnd w:id="19"/>
      <w:r>
        <w:rPr>
          <w:sz w:val="28"/>
          <w:szCs w:val="28"/>
        </w:rPr>
        <w:t>.</w:t>
      </w:r>
    </w:p>
    <w:p>
      <w:pPr>
        <w:pStyle w:val="2"/>
        <w:numPr>
          <w:ilvl w:val="0"/>
          <w:numId w:val="0"/>
        </w:numPr>
        <w:spacing w:lineRule="auto" w:line="360" w:before="120" w:after="240"/>
        <w:ind w:firstLine="567"/>
        <w:rPr>
          <w:sz w:val="28"/>
          <w:szCs w:val="28"/>
        </w:rPr>
      </w:pPr>
      <w:bookmarkStart w:id="20" w:name="_Toc381715483"/>
      <w:bookmarkStart w:id="21" w:name="_Toc380482123"/>
      <w:r>
        <w:rPr>
          <w:sz w:val="28"/>
          <w:szCs w:val="28"/>
        </w:rPr>
        <w:t>1.1.4.1. Описание состояния существующих источников водоснабжения и водозаборных сооружений</w:t>
      </w:r>
      <w:bookmarkEnd w:id="20"/>
      <w:bookmarkEnd w:id="21"/>
      <w:r>
        <w:rPr>
          <w:sz w:val="28"/>
          <w:szCs w:val="28"/>
        </w:rPr>
        <w:t>.</w:t>
      </w:r>
    </w:p>
    <w:p>
      <w:pPr>
        <w:pStyle w:val="Normal"/>
        <w:spacing w:lineRule="auto" w:line="360" w:before="0" w:after="0"/>
        <w:rPr>
          <w:sz w:val="28"/>
        </w:rPr>
      </w:pPr>
      <w:r>
        <w:rPr>
          <w:sz w:val="28"/>
        </w:rPr>
        <w:t>В состав  водозаборного сооружения входят:  каптажные  камеры  -  5  ед.;  резервуар-накопитель  (железобетонная емкость объемом 500м³), здание охраны.</w:t>
      </w:r>
    </w:p>
    <w:p>
      <w:pPr>
        <w:pStyle w:val="Normal"/>
        <w:spacing w:lineRule="auto" w:line="360" w:before="0" w:after="0"/>
        <w:rPr>
          <w:sz w:val="28"/>
          <w:szCs w:val="28"/>
        </w:rPr>
      </w:pPr>
      <w:r>
        <w:rPr>
          <w:sz w:val="28"/>
        </w:rPr>
        <w:t xml:space="preserve">Магистральные сети были проложены в 1978 году.  Глубина прокладки труб составляет 0,2 м. Трубы стальные диаметром от 32 мм до 159 мм. Протяженность водопроводных сетей составляет 11,11 км. </w:t>
      </w:r>
      <w:r>
        <w:rPr>
          <w:sz w:val="28"/>
          <w:szCs w:val="28"/>
        </w:rPr>
        <w:t xml:space="preserve">В настоящее время процент </w:t>
      </w:r>
      <w:r>
        <w:rPr>
          <w:sz w:val="28"/>
        </w:rPr>
        <w:t>износа сетей составляет 60%.</w:t>
      </w:r>
      <w:r>
        <w:rPr>
          <w:sz w:val="28"/>
          <w:szCs w:val="28"/>
        </w:rPr>
        <w:t xml:space="preserve"> Процент износа резервуара чистой воды, составляет 5%, что говорит о том, что техническое состояние резервуара является хорошим. </w:t>
      </w:r>
    </w:p>
    <w:p>
      <w:pPr>
        <w:pStyle w:val="2"/>
        <w:numPr>
          <w:ilvl w:val="0"/>
          <w:numId w:val="0"/>
        </w:numPr>
        <w:spacing w:lineRule="auto" w:line="360" w:before="120" w:after="240"/>
        <w:ind w:firstLine="567"/>
        <w:rPr>
          <w:sz w:val="28"/>
          <w:szCs w:val="28"/>
        </w:rPr>
      </w:pPr>
      <w:bookmarkStart w:id="22" w:name="_Toc381715484"/>
      <w:bookmarkStart w:id="23" w:name="_Toc380482124"/>
      <w:r>
        <w:rPr>
          <w:sz w:val="28"/>
          <w:szCs w:val="28"/>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2"/>
      <w:bookmarkEnd w:id="23"/>
      <w:r>
        <w:rPr>
          <w:sz w:val="28"/>
          <w:szCs w:val="28"/>
        </w:rPr>
        <w:t>.</w:t>
      </w:r>
    </w:p>
    <w:p>
      <w:pPr>
        <w:pStyle w:val="Normal"/>
        <w:spacing w:lineRule="auto" w:line="360" w:before="0" w:after="0"/>
        <w:rPr>
          <w:sz w:val="28"/>
          <w:szCs w:val="28"/>
        </w:rPr>
      </w:pPr>
      <w:r>
        <w:rPr>
          <w:sz w:val="28"/>
          <w:szCs w:val="28"/>
        </w:rPr>
        <w:t>Существуют несколько вариантов очистки воды основные из них: механическая, биологическая.</w:t>
      </w:r>
    </w:p>
    <w:p>
      <w:pPr>
        <w:pStyle w:val="Normal"/>
        <w:spacing w:lineRule="auto" w:line="360" w:before="0" w:after="0"/>
        <w:rPr>
          <w:sz w:val="28"/>
          <w:szCs w:val="28"/>
        </w:rPr>
      </w:pPr>
      <w:r>
        <w:rPr>
          <w:bCs/>
          <w:sz w:val="28"/>
          <w:szCs w:val="28"/>
        </w:rPr>
        <w:t>Механическая очистка воды</w:t>
      </w:r>
      <w:r>
        <w:rPr>
          <w:sz w:val="28"/>
          <w:szCs w:val="28"/>
        </w:rPr>
        <w:t> позволяет удалять из воды взвешенные частицы, песок, взвеси, ржавчину и т.д. Механическая очистка артезианской и водопроводной воды получила большое распространение при очистке воды, как малой, так и средней производительности. </w:t>
      </w:r>
    </w:p>
    <w:p>
      <w:pPr>
        <w:pStyle w:val="Normal"/>
        <w:spacing w:lineRule="auto" w:line="360" w:before="0" w:after="0"/>
        <w:rPr>
          <w:sz w:val="28"/>
          <w:szCs w:val="28"/>
        </w:rPr>
      </w:pPr>
      <w:r>
        <w:rPr>
          <w:sz w:val="28"/>
          <w:szCs w:val="28"/>
        </w:rPr>
        <w:t>Механическая очистка обеспечивает эффективное удаление из исходной воды:</w:t>
      </w:r>
    </w:p>
    <w:p>
      <w:pPr>
        <w:pStyle w:val="Normal"/>
        <w:numPr>
          <w:ilvl w:val="0"/>
          <w:numId w:val="6"/>
        </w:numPr>
        <w:tabs>
          <w:tab w:val="left" w:pos="0" w:leader="none"/>
        </w:tabs>
        <w:spacing w:lineRule="auto" w:line="360" w:before="0" w:after="0"/>
        <w:ind w:left="0" w:firstLine="360"/>
        <w:rPr>
          <w:sz w:val="28"/>
          <w:szCs w:val="28"/>
        </w:rPr>
      </w:pPr>
      <w:r>
        <w:rPr>
          <w:b/>
          <w:bCs/>
          <w:sz w:val="28"/>
          <w:szCs w:val="28"/>
        </w:rPr>
        <w:t>мутности</w:t>
      </w:r>
      <w:r>
        <w:rPr>
          <w:sz w:val="28"/>
          <w:szCs w:val="28"/>
        </w:rPr>
        <w:t>, которая появляется при наличии в воде взвешенных частиц коллоидного железа и кремния, ила, глины, песка, трубопроводной ржавчины и других механических примесей;</w:t>
      </w:r>
    </w:p>
    <w:p>
      <w:pPr>
        <w:pStyle w:val="Normal"/>
        <w:numPr>
          <w:ilvl w:val="0"/>
          <w:numId w:val="6"/>
        </w:numPr>
        <w:tabs>
          <w:tab w:val="left" w:pos="0" w:leader="none"/>
        </w:tabs>
        <w:spacing w:lineRule="auto" w:line="360" w:before="0" w:after="0"/>
        <w:ind w:left="0" w:firstLine="360"/>
        <w:rPr>
          <w:sz w:val="28"/>
          <w:szCs w:val="28"/>
        </w:rPr>
      </w:pPr>
      <w:r>
        <w:rPr>
          <w:b/>
          <w:bCs/>
          <w:sz w:val="28"/>
          <w:szCs w:val="28"/>
        </w:rPr>
        <w:t>прозрачности</w:t>
      </w:r>
      <w:r>
        <w:rPr>
          <w:sz w:val="28"/>
          <w:szCs w:val="28"/>
        </w:rPr>
        <w:t> (или светопропускания) природных вод, которая обусловлена их цветом и мутностью, т.е. содержанием в них различных окрашенных и взвешенных органических и минеральных веществ;</w:t>
      </w:r>
    </w:p>
    <w:p>
      <w:pPr>
        <w:pStyle w:val="Normal"/>
        <w:numPr>
          <w:ilvl w:val="0"/>
          <w:numId w:val="6"/>
        </w:numPr>
        <w:tabs>
          <w:tab w:val="left" w:pos="0" w:leader="none"/>
        </w:tabs>
        <w:spacing w:lineRule="auto" w:line="360" w:before="0" w:after="0"/>
        <w:ind w:left="0" w:firstLine="360"/>
        <w:rPr>
          <w:sz w:val="28"/>
          <w:szCs w:val="28"/>
        </w:rPr>
      </w:pPr>
      <w:r>
        <w:rPr>
          <w:b/>
          <w:bCs/>
          <w:sz w:val="28"/>
          <w:szCs w:val="28"/>
        </w:rPr>
        <w:t>цветности</w:t>
      </w:r>
      <w:r>
        <w:rPr>
          <w:sz w:val="28"/>
          <w:szCs w:val="28"/>
        </w:rPr>
        <w:t> - показателя качества воды, характеризующего интенсивность окраски воды и обусловленного содержанием окрашенных соединений; выражается в градусах платиново-кобальтовой шкалы. Цветность определяется путем сравнения окраски испытуемой воды с эталонами;</w:t>
      </w:r>
    </w:p>
    <w:p>
      <w:pPr>
        <w:pStyle w:val="Normal"/>
        <w:numPr>
          <w:ilvl w:val="0"/>
          <w:numId w:val="6"/>
        </w:numPr>
        <w:tabs>
          <w:tab w:val="left" w:pos="0" w:leader="none"/>
        </w:tabs>
        <w:spacing w:lineRule="auto" w:line="360" w:before="0" w:after="0"/>
        <w:ind w:left="0" w:firstLine="360"/>
        <w:rPr>
          <w:sz w:val="28"/>
          <w:szCs w:val="28"/>
        </w:rPr>
      </w:pPr>
      <w:r>
        <w:rPr>
          <w:b/>
          <w:bCs/>
          <w:sz w:val="28"/>
          <w:szCs w:val="28"/>
        </w:rPr>
        <w:t>привкуса и запаха</w:t>
      </w:r>
      <w:r>
        <w:rPr>
          <w:sz w:val="28"/>
          <w:szCs w:val="28"/>
        </w:rPr>
        <w:t>, которые определяются как естественными, так и искусственными причинами: наличие растворенных нефтепродуктов,  хлор окисленной органики и других антропогенных загрязнений.</w:t>
      </w:r>
    </w:p>
    <w:p>
      <w:pPr>
        <w:pStyle w:val="Normal"/>
        <w:spacing w:lineRule="auto" w:line="360" w:before="0" w:after="0"/>
        <w:rPr>
          <w:sz w:val="28"/>
          <w:szCs w:val="28"/>
        </w:rPr>
      </w:pPr>
      <w:r>
        <w:rPr>
          <w:sz w:val="28"/>
          <w:szCs w:val="28"/>
        </w:rPr>
        <w:t>Фильтрующая загрузка является основным рабочим элементом в фильтровальных сооружениях, поэтому правильный выбор ее параметров имеет большое значение для их нормальной работы. Фильтрующие слои выполняют из отсортированного зернистого материала, удовлетворяющего санитарным требованиям. Они обладают достаточной химической стойкостью и механической прочностью.</w:t>
      </w:r>
    </w:p>
    <w:p>
      <w:pPr>
        <w:pStyle w:val="Normal"/>
        <w:spacing w:lineRule="auto" w:line="360" w:before="0" w:after="0"/>
        <w:rPr>
          <w:sz w:val="28"/>
          <w:szCs w:val="28"/>
        </w:rPr>
      </w:pPr>
      <w:r>
        <w:rPr>
          <w:sz w:val="28"/>
          <w:szCs w:val="28"/>
        </w:rPr>
        <w:t xml:space="preserve">В настоящее время водоподготовка воды в Алексеевском городском поселении не производится. Системы обеззараживания воды отсутствует.  Предусмотрена грубая очистка воды через гравийную отсыпку, своевременно проводится санитарная обработка ручья. Вода на территории Алексеевского муниципального образования соответствует требованиям </w:t>
      </w:r>
      <w:r>
        <w:rPr>
          <w:sz w:val="28"/>
          <w:lang w:eastAsia="ru-RU"/>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Согласно протоколу лабораторных испытаний №0008 и №0009 от 19 декабря 2014 года, договор № 010к от 21.01.2013г.</w:t>
      </w:r>
      <w:r>
        <w:rPr>
          <w:sz w:val="28"/>
          <w:szCs w:val="28"/>
        </w:rPr>
        <w:t xml:space="preserve"> </w:t>
      </w:r>
      <w:r>
        <w:rPr>
          <w:sz w:val="28"/>
          <w:lang w:eastAsia="ru-RU"/>
        </w:rPr>
        <w:t>Анализ пробы воды проведен ООО "Норд Трейд" в Киренском районе, п. Алексеевске, кв. Таёжный 42-1.</w:t>
      </w:r>
    </w:p>
    <w:p>
      <w:pPr>
        <w:pStyle w:val="2"/>
        <w:numPr>
          <w:ilvl w:val="0"/>
          <w:numId w:val="0"/>
        </w:numPr>
        <w:spacing w:lineRule="auto" w:line="360" w:before="120" w:after="240"/>
        <w:ind w:firstLine="567"/>
        <w:rPr>
          <w:sz w:val="28"/>
          <w:lang w:eastAsia="ru-RU"/>
        </w:rPr>
      </w:pPr>
      <w:bookmarkStart w:id="24" w:name="_Toc381715485"/>
      <w:bookmarkStart w:id="25" w:name="_Toc380482125"/>
      <w:r>
        <w:rPr>
          <w:sz w:val="28"/>
          <w:lang w:eastAsia="ru-RU"/>
        </w:rPr>
        <w:t xml:space="preserve">1.1.4.3 </w:t>
      </w:r>
      <w:r>
        <w:rPr>
          <w:sz w:val="28"/>
          <w:szCs w:val="28"/>
          <w:lang w:eastAsia="ru-RU"/>
        </w:rPr>
        <w:t>Описание состояния и функционирования существующих насосных централизованных станций, в том числе оценка энергоэффективности  подачи воды, которая</w:t>
      </w:r>
      <w:r>
        <w:rPr>
          <w:sz w:val="28"/>
          <w:lang w:eastAsia="ru-RU"/>
        </w:rPr>
        <w:t xml:space="preserve">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4"/>
      <w:bookmarkEnd w:id="25"/>
      <w:r>
        <w:rPr>
          <w:sz w:val="28"/>
          <w:lang w:eastAsia="ru-RU"/>
        </w:rPr>
        <w:t>.</w:t>
      </w:r>
    </w:p>
    <w:p>
      <w:pPr>
        <w:pStyle w:val="Normal"/>
        <w:spacing w:lineRule="auto" w:line="360" w:before="0" w:after="0"/>
        <w:rPr>
          <w:sz w:val="28"/>
          <w:lang w:eastAsia="ru-RU"/>
        </w:rPr>
      </w:pPr>
      <w:r>
        <w:rPr>
          <w:sz w:val="28"/>
          <w:lang w:eastAsia="ru-RU"/>
        </w:rPr>
        <w:t xml:space="preserve">На территории муниципального образования Алексеевского городского поселения водоснабжение осуществляется от поверхностного источника (родник, ключ). </w:t>
      </w:r>
      <w:r>
        <w:rPr>
          <w:sz w:val="28"/>
          <w:szCs w:val="28"/>
        </w:rPr>
        <w:t>Насосные станции системы водоснабжения</w:t>
      </w:r>
      <w:r>
        <w:rPr>
          <w:color w:val="FF0000"/>
          <w:sz w:val="28"/>
          <w:szCs w:val="28"/>
        </w:rPr>
        <w:t xml:space="preserve"> </w:t>
      </w:r>
      <w:r>
        <w:rPr>
          <w:sz w:val="28"/>
          <w:szCs w:val="28"/>
        </w:rPr>
        <w:t>в муниципальном образовании отсутствуют.</w:t>
      </w:r>
      <w:r>
        <w:rPr>
          <w:sz w:val="28"/>
          <w:lang w:eastAsia="ru-RU"/>
        </w:rPr>
        <w:t xml:space="preserve"> </w:t>
      </w:r>
      <w:r>
        <w:rPr>
          <w:sz w:val="28"/>
          <w:szCs w:val="28"/>
        </w:rPr>
        <w:t>Забор воды происходит  на склоне  горы  на  отметке  294,0 м,  что  значительно  выше  территории  посёлка. Вода до потребителей поступает «самотеком».</w:t>
      </w:r>
    </w:p>
    <w:p>
      <w:pPr>
        <w:pStyle w:val="Normal"/>
        <w:spacing w:lineRule="auto" w:line="360" w:before="0" w:after="0"/>
        <w:rPr>
          <w:sz w:val="28"/>
          <w:szCs w:val="24"/>
          <w:lang w:eastAsia="ru-RU"/>
        </w:rPr>
      </w:pPr>
      <w:r>
        <w:rPr>
          <w:color w:val="000000"/>
          <w:sz w:val="28"/>
          <w:szCs w:val="24"/>
          <w:shd w:fill="FFFFFF" w:val="clear"/>
        </w:rPr>
        <w:t xml:space="preserve">Для регулирования водопотребления </w:t>
      </w:r>
      <w:r>
        <w:rPr>
          <w:sz w:val="28"/>
          <w:szCs w:val="24"/>
          <w:lang w:eastAsia="ru-RU"/>
        </w:rPr>
        <w:t>в п. Алексеевск,</w:t>
      </w:r>
      <w:r>
        <w:rPr>
          <w:color w:val="000000"/>
          <w:sz w:val="28"/>
          <w:szCs w:val="24"/>
          <w:shd w:fill="FFFFFF" w:val="clear"/>
        </w:rPr>
        <w:t xml:space="preserve">  </w:t>
      </w:r>
      <w:r>
        <w:rPr>
          <w:sz w:val="28"/>
          <w:szCs w:val="24"/>
          <w:lang w:eastAsia="ru-RU"/>
        </w:rPr>
        <w:t>установлены приборы учета. Подробнее указанно в таблице 1.</w:t>
      </w:r>
    </w:p>
    <w:p>
      <w:pPr>
        <w:pStyle w:val="Normal"/>
        <w:spacing w:lineRule="auto" w:line="360" w:before="0" w:after="0"/>
        <w:rPr>
          <w:sz w:val="28"/>
          <w:szCs w:val="24"/>
          <w:lang w:eastAsia="ru-RU"/>
        </w:rPr>
      </w:pPr>
      <w:r>
        <w:rPr>
          <w:sz w:val="28"/>
          <w:szCs w:val="24"/>
          <w:lang w:eastAsia="ru-RU"/>
        </w:rPr>
      </w:r>
    </w:p>
    <w:p>
      <w:pPr>
        <w:pStyle w:val="Normal"/>
        <w:spacing w:before="0" w:after="120"/>
        <w:jc w:val="right"/>
        <w:rPr>
          <w:sz w:val="28"/>
          <w:szCs w:val="24"/>
          <w:lang w:eastAsia="ru-RU"/>
        </w:rPr>
      </w:pPr>
      <w:r>
        <w:rPr>
          <w:sz w:val="28"/>
          <w:szCs w:val="24"/>
          <w:lang w:eastAsia="ru-RU"/>
        </w:rPr>
        <w:t>Табл. 1 - Оснащенность приборами учета</w:t>
      </w:r>
    </w:p>
    <w:tbl>
      <w:tblPr>
        <w:tblStyle w:val="ae"/>
        <w:tblW w:w="7621" w:type="dxa"/>
        <w:jc w:val="center"/>
        <w:tblInd w:w="0" w:type="dxa"/>
        <w:tblCellMar>
          <w:top w:w="0" w:type="dxa"/>
          <w:left w:w="108" w:type="dxa"/>
          <w:bottom w:w="0" w:type="dxa"/>
          <w:right w:w="108" w:type="dxa"/>
        </w:tblCellMar>
        <w:tblLook w:val="04a0"/>
      </w:tblPr>
      <w:tblGrid>
        <w:gridCol w:w="692"/>
        <w:gridCol w:w="2818"/>
        <w:gridCol w:w="4111"/>
      </w:tblGrid>
      <w:tr>
        <w:trPr>
          <w:trHeight w:val="307" w:hRule="atLeast"/>
        </w:trPr>
        <w:tc>
          <w:tcPr>
            <w:tcW w:w="692" w:type="dxa"/>
            <w:tcBorders/>
            <w:shd w:fill="auto" w:val="clear"/>
            <w:tcMar>
              <w:left w:w="108" w:type="dxa"/>
            </w:tcMar>
            <w:vAlign w:val="center"/>
          </w:tcPr>
          <w:p>
            <w:pPr>
              <w:pStyle w:val="Normal"/>
              <w:spacing w:lineRule="auto" w:line="240" w:before="60" w:after="60"/>
              <w:ind w:left="-124" w:right="-108" w:hanging="0"/>
              <w:jc w:val="center"/>
              <w:rPr>
                <w:b/>
                <w:b/>
                <w:szCs w:val="24"/>
                <w:lang w:eastAsia="ru-RU"/>
              </w:rPr>
            </w:pPr>
            <w:r>
              <w:rPr>
                <w:rFonts w:eastAsia="Times New Roman"/>
                <w:b/>
                <w:szCs w:val="24"/>
                <w:lang w:eastAsia="ru-RU"/>
              </w:rPr>
              <w:t xml:space="preserve">№ </w:t>
            </w:r>
            <w:r>
              <w:rPr>
                <w:rFonts w:eastAsia="Times New Roman"/>
                <w:b/>
                <w:szCs w:val="24"/>
                <w:lang w:eastAsia="ru-RU"/>
              </w:rPr>
              <w:t>п/п</w:t>
            </w:r>
          </w:p>
        </w:tc>
        <w:tc>
          <w:tcPr>
            <w:tcW w:w="2818" w:type="dxa"/>
            <w:tcBorders/>
            <w:shd w:fill="auto" w:val="clear"/>
            <w:tcMar>
              <w:left w:w="108" w:type="dxa"/>
            </w:tcMar>
            <w:vAlign w:val="center"/>
          </w:tcPr>
          <w:p>
            <w:pPr>
              <w:pStyle w:val="Normal"/>
              <w:spacing w:lineRule="auto" w:line="240" w:before="60" w:after="60"/>
              <w:ind w:hanging="0"/>
              <w:jc w:val="center"/>
              <w:rPr>
                <w:b/>
                <w:b/>
                <w:szCs w:val="24"/>
                <w:lang w:eastAsia="ru-RU"/>
              </w:rPr>
            </w:pPr>
            <w:r>
              <w:rPr>
                <w:rFonts w:eastAsia="Times New Roman"/>
                <w:b/>
                <w:szCs w:val="24"/>
                <w:lang w:eastAsia="ru-RU"/>
              </w:rPr>
              <w:t>Потребители</w:t>
            </w:r>
          </w:p>
        </w:tc>
        <w:tc>
          <w:tcPr>
            <w:tcW w:w="4111" w:type="dxa"/>
            <w:tcBorders/>
            <w:shd w:fill="auto" w:val="clear"/>
            <w:tcMar>
              <w:left w:w="108" w:type="dxa"/>
            </w:tcMar>
            <w:vAlign w:val="center"/>
          </w:tcPr>
          <w:p>
            <w:pPr>
              <w:pStyle w:val="Normal"/>
              <w:spacing w:lineRule="auto" w:line="240" w:before="60" w:after="60"/>
              <w:ind w:hanging="0"/>
              <w:jc w:val="center"/>
              <w:rPr>
                <w:b/>
                <w:b/>
                <w:szCs w:val="24"/>
                <w:lang w:eastAsia="ru-RU"/>
              </w:rPr>
            </w:pPr>
            <w:r>
              <w:rPr>
                <w:rFonts w:eastAsia="Times New Roman"/>
                <w:b/>
                <w:szCs w:val="24"/>
                <w:lang w:eastAsia="ru-RU"/>
              </w:rPr>
              <w:t>Оснащенность приборами учета, %</w:t>
            </w:r>
          </w:p>
        </w:tc>
      </w:tr>
      <w:tr>
        <w:trPr>
          <w:trHeight w:val="216" w:hRule="atLeast"/>
        </w:trPr>
        <w:tc>
          <w:tcPr>
            <w:tcW w:w="692" w:type="dxa"/>
            <w:tcBorders/>
            <w:shd w:fill="auto" w:val="clear"/>
            <w:tcMar>
              <w:left w:w="108" w:type="dxa"/>
            </w:tcMar>
            <w:vAlign w:val="center"/>
          </w:tcPr>
          <w:p>
            <w:pPr>
              <w:pStyle w:val="Normal"/>
              <w:spacing w:lineRule="auto" w:line="240" w:before="60" w:after="60"/>
              <w:ind w:hanging="0"/>
              <w:jc w:val="center"/>
              <w:rPr>
                <w:szCs w:val="24"/>
                <w:lang w:eastAsia="ru-RU"/>
              </w:rPr>
            </w:pPr>
            <w:r>
              <w:rPr>
                <w:rFonts w:eastAsia="Times New Roman"/>
                <w:szCs w:val="24"/>
                <w:lang w:eastAsia="ru-RU"/>
              </w:rPr>
              <w:t>1</w:t>
            </w:r>
          </w:p>
        </w:tc>
        <w:tc>
          <w:tcPr>
            <w:tcW w:w="2818" w:type="dxa"/>
            <w:tcBorders/>
            <w:shd w:fill="auto" w:val="clear"/>
            <w:tcMar>
              <w:left w:w="108" w:type="dxa"/>
            </w:tcMar>
            <w:vAlign w:val="center"/>
          </w:tcPr>
          <w:p>
            <w:pPr>
              <w:pStyle w:val="Normal"/>
              <w:spacing w:lineRule="auto" w:line="240" w:before="60" w:after="60"/>
              <w:ind w:hanging="0"/>
              <w:jc w:val="center"/>
              <w:rPr>
                <w:szCs w:val="24"/>
                <w:lang w:eastAsia="ru-RU"/>
              </w:rPr>
            </w:pPr>
            <w:r>
              <w:rPr>
                <w:rFonts w:eastAsia="Times New Roman"/>
                <w:szCs w:val="24"/>
                <w:lang w:eastAsia="ru-RU"/>
              </w:rPr>
              <w:t>Население</w:t>
            </w:r>
          </w:p>
        </w:tc>
        <w:tc>
          <w:tcPr>
            <w:tcW w:w="4111" w:type="dxa"/>
            <w:tcBorders/>
            <w:shd w:fill="auto" w:val="clear"/>
            <w:tcMar>
              <w:left w:w="108" w:type="dxa"/>
            </w:tcMar>
            <w:vAlign w:val="center"/>
          </w:tcPr>
          <w:p>
            <w:pPr>
              <w:pStyle w:val="Normal"/>
              <w:spacing w:lineRule="auto" w:line="240" w:before="60" w:after="60"/>
              <w:ind w:hanging="0"/>
              <w:jc w:val="center"/>
              <w:rPr>
                <w:szCs w:val="24"/>
                <w:lang w:eastAsia="ru-RU"/>
              </w:rPr>
            </w:pPr>
            <w:r>
              <w:rPr>
                <w:rFonts w:eastAsia="Times New Roman"/>
                <w:szCs w:val="24"/>
                <w:lang w:eastAsia="ru-RU"/>
              </w:rPr>
              <w:t>84</w:t>
            </w:r>
          </w:p>
        </w:tc>
      </w:tr>
      <w:tr>
        <w:trPr>
          <w:trHeight w:val="151" w:hRule="atLeast"/>
        </w:trPr>
        <w:tc>
          <w:tcPr>
            <w:tcW w:w="692" w:type="dxa"/>
            <w:tcBorders/>
            <w:shd w:fill="auto" w:val="clear"/>
            <w:tcMar>
              <w:left w:w="108" w:type="dxa"/>
            </w:tcMar>
            <w:vAlign w:val="center"/>
          </w:tcPr>
          <w:p>
            <w:pPr>
              <w:pStyle w:val="Normal"/>
              <w:spacing w:lineRule="auto" w:line="240" w:before="60" w:after="60"/>
              <w:ind w:hanging="0"/>
              <w:jc w:val="center"/>
              <w:rPr>
                <w:szCs w:val="24"/>
                <w:lang w:eastAsia="ru-RU"/>
              </w:rPr>
            </w:pPr>
            <w:r>
              <w:rPr>
                <w:rFonts w:eastAsia="Times New Roman"/>
                <w:szCs w:val="24"/>
                <w:lang w:eastAsia="ru-RU"/>
              </w:rPr>
              <w:t>2</w:t>
            </w:r>
          </w:p>
        </w:tc>
        <w:tc>
          <w:tcPr>
            <w:tcW w:w="2818" w:type="dxa"/>
            <w:tcBorders/>
            <w:shd w:fill="auto" w:val="clear"/>
            <w:tcMar>
              <w:left w:w="108" w:type="dxa"/>
            </w:tcMar>
            <w:vAlign w:val="center"/>
          </w:tcPr>
          <w:p>
            <w:pPr>
              <w:pStyle w:val="Normal"/>
              <w:spacing w:lineRule="auto" w:line="240" w:before="60" w:after="60"/>
              <w:ind w:hanging="0"/>
              <w:jc w:val="center"/>
              <w:rPr>
                <w:szCs w:val="24"/>
                <w:lang w:eastAsia="ru-RU"/>
              </w:rPr>
            </w:pPr>
            <w:r>
              <w:rPr>
                <w:rFonts w:eastAsia="Times New Roman"/>
                <w:szCs w:val="24"/>
                <w:lang w:eastAsia="ru-RU"/>
              </w:rPr>
              <w:t>Учреждения</w:t>
            </w:r>
          </w:p>
        </w:tc>
        <w:tc>
          <w:tcPr>
            <w:tcW w:w="4111" w:type="dxa"/>
            <w:tcBorders/>
            <w:shd w:fill="auto" w:val="clear"/>
            <w:tcMar>
              <w:left w:w="108" w:type="dxa"/>
            </w:tcMar>
            <w:vAlign w:val="center"/>
          </w:tcPr>
          <w:p>
            <w:pPr>
              <w:pStyle w:val="Normal"/>
              <w:spacing w:lineRule="auto" w:line="240" w:before="60" w:after="60"/>
              <w:ind w:hanging="0"/>
              <w:jc w:val="center"/>
              <w:rPr>
                <w:szCs w:val="24"/>
                <w:lang w:eastAsia="ru-RU"/>
              </w:rPr>
            </w:pPr>
            <w:r>
              <w:rPr>
                <w:rFonts w:eastAsia="Times New Roman"/>
                <w:szCs w:val="24"/>
                <w:lang w:eastAsia="ru-RU"/>
              </w:rPr>
              <w:t>78,5</w:t>
            </w:r>
          </w:p>
        </w:tc>
      </w:tr>
      <w:tr>
        <w:trPr/>
        <w:tc>
          <w:tcPr>
            <w:tcW w:w="692" w:type="dxa"/>
            <w:tcBorders/>
            <w:shd w:fill="auto" w:val="clear"/>
            <w:tcMar>
              <w:left w:w="108" w:type="dxa"/>
            </w:tcMar>
            <w:vAlign w:val="center"/>
          </w:tcPr>
          <w:p>
            <w:pPr>
              <w:pStyle w:val="Normal"/>
              <w:spacing w:lineRule="auto" w:line="240" w:before="60" w:after="60"/>
              <w:ind w:hanging="0"/>
              <w:jc w:val="center"/>
              <w:rPr>
                <w:szCs w:val="24"/>
                <w:lang w:eastAsia="ru-RU"/>
              </w:rPr>
            </w:pPr>
            <w:r>
              <w:rPr>
                <w:rFonts w:eastAsia="Times New Roman"/>
                <w:szCs w:val="24"/>
                <w:lang w:eastAsia="ru-RU"/>
              </w:rPr>
              <w:t>3</w:t>
            </w:r>
          </w:p>
        </w:tc>
        <w:tc>
          <w:tcPr>
            <w:tcW w:w="2818" w:type="dxa"/>
            <w:tcBorders/>
            <w:shd w:fill="auto" w:val="clear"/>
            <w:tcMar>
              <w:left w:w="108" w:type="dxa"/>
            </w:tcMar>
            <w:vAlign w:val="center"/>
          </w:tcPr>
          <w:p>
            <w:pPr>
              <w:pStyle w:val="Normal"/>
              <w:spacing w:lineRule="auto" w:line="240" w:before="60" w:after="60"/>
              <w:ind w:hanging="0"/>
              <w:jc w:val="center"/>
              <w:rPr>
                <w:szCs w:val="24"/>
                <w:lang w:eastAsia="ru-RU"/>
              </w:rPr>
            </w:pPr>
            <w:r>
              <w:rPr>
                <w:rFonts w:eastAsia="Times New Roman"/>
                <w:szCs w:val="24"/>
                <w:lang w:eastAsia="ru-RU"/>
              </w:rPr>
              <w:t>Пром. предприятия</w:t>
            </w:r>
          </w:p>
        </w:tc>
        <w:tc>
          <w:tcPr>
            <w:tcW w:w="4111" w:type="dxa"/>
            <w:tcBorders/>
            <w:shd w:fill="auto" w:val="clear"/>
            <w:tcMar>
              <w:left w:w="108" w:type="dxa"/>
            </w:tcMar>
            <w:vAlign w:val="center"/>
          </w:tcPr>
          <w:p>
            <w:pPr>
              <w:pStyle w:val="Normal"/>
              <w:spacing w:lineRule="auto" w:line="240" w:before="60" w:after="60"/>
              <w:ind w:hanging="0"/>
              <w:jc w:val="center"/>
              <w:rPr>
                <w:szCs w:val="24"/>
                <w:lang w:eastAsia="ru-RU"/>
              </w:rPr>
            </w:pPr>
            <w:r>
              <w:rPr>
                <w:rFonts w:eastAsia="Times New Roman"/>
                <w:szCs w:val="24"/>
                <w:lang w:eastAsia="ru-RU"/>
              </w:rPr>
              <w:t>50</w:t>
            </w:r>
          </w:p>
        </w:tc>
      </w:tr>
    </w:tbl>
    <w:p>
      <w:pPr>
        <w:pStyle w:val="Normal"/>
        <w:spacing w:lineRule="auto" w:line="360" w:before="120" w:after="120"/>
        <w:rPr>
          <w:sz w:val="28"/>
          <w:lang w:eastAsia="ru-RU"/>
        </w:rPr>
      </w:pPr>
      <w:r>
        <w:rPr>
          <w:sz w:val="28"/>
          <w:szCs w:val="24"/>
          <w:lang w:eastAsia="ru-RU"/>
        </w:rPr>
        <w:t xml:space="preserve">Также 2015 году был  установлен прибор учета на водозаборном сооружении  марки </w:t>
      </w:r>
      <w:r>
        <w:rPr>
          <w:sz w:val="28"/>
          <w:szCs w:val="28"/>
        </w:rPr>
        <w:t>ВСХН-150 (заводской) №14571883. Давление в системе по прибору составляет 10 кг/см²</w:t>
      </w:r>
      <w:r>
        <w:rPr>
          <w:sz w:val="28"/>
          <w:szCs w:val="24"/>
          <w:lang w:eastAsia="ru-RU"/>
        </w:rPr>
        <w:t xml:space="preserve">, дополнительное давление в трассе создает перепад уровня высот водозабора и поселка. </w:t>
      </w:r>
    </w:p>
    <w:p>
      <w:pPr>
        <w:pStyle w:val="2"/>
        <w:numPr>
          <w:ilvl w:val="0"/>
          <w:numId w:val="0"/>
        </w:numPr>
        <w:spacing w:lineRule="auto" w:line="360" w:before="120" w:after="240"/>
        <w:ind w:firstLine="567"/>
        <w:rPr>
          <w:sz w:val="28"/>
          <w:lang w:eastAsia="ru-RU"/>
        </w:rPr>
      </w:pPr>
      <w:bookmarkStart w:id="26" w:name="_Toc381715486"/>
      <w:bookmarkStart w:id="27" w:name="_Toc380482126"/>
      <w:r>
        <w:rPr>
          <w:sz w:val="28"/>
          <w:lang w:eastAsia="ru-RU"/>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6"/>
      <w:bookmarkEnd w:id="27"/>
      <w:r>
        <w:rPr>
          <w:sz w:val="28"/>
          <w:lang w:eastAsia="ru-RU"/>
        </w:rPr>
        <w:t>.</w:t>
      </w:r>
    </w:p>
    <w:p>
      <w:pPr>
        <w:pStyle w:val="Normal"/>
        <w:spacing w:lineRule="auto" w:line="360" w:before="0" w:after="0"/>
        <w:rPr>
          <w:sz w:val="28"/>
        </w:rPr>
      </w:pPr>
      <w:r>
        <w:rPr>
          <w:sz w:val="28"/>
        </w:rPr>
        <w:t xml:space="preserve">Характеристика существующих централизованных водопроводных сетей приведена в таблице 1.2. </w:t>
      </w:r>
    </w:p>
    <w:p>
      <w:pPr>
        <w:pStyle w:val="Normal"/>
        <w:spacing w:lineRule="auto" w:line="360" w:before="0" w:after="0"/>
        <w:jc w:val="right"/>
        <w:rPr>
          <w:sz w:val="28"/>
        </w:rPr>
      </w:pPr>
      <w:r>
        <w:rPr>
          <w:sz w:val="28"/>
        </w:rPr>
        <w:t>Таблица 1.2 - Характеристика существующих водопроводных сетей.</w:t>
      </w:r>
    </w:p>
    <w:tbl>
      <w:tblPr>
        <w:tblW w:w="4700" w:type="pct"/>
        <w:jc w:val="center"/>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28" w:type="dxa"/>
          <w:left w:w="108" w:type="dxa"/>
          <w:bottom w:w="28" w:type="dxa"/>
          <w:right w:w="108" w:type="dxa"/>
        </w:tblCellMar>
        <w:tblLook w:val="00a0"/>
      </w:tblPr>
      <w:tblGrid>
        <w:gridCol w:w="2269"/>
        <w:gridCol w:w="1101"/>
        <w:gridCol w:w="1240"/>
        <w:gridCol w:w="1380"/>
        <w:gridCol w:w="1245"/>
        <w:gridCol w:w="1104"/>
        <w:gridCol w:w="986"/>
      </w:tblGrid>
      <w:tr>
        <w:trPr/>
        <w:tc>
          <w:tcPr>
            <w:tcW w:w="22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left="-103" w:right="-108" w:hanging="0"/>
              <w:jc w:val="center"/>
              <w:rPr>
                <w:b/>
                <w:b/>
              </w:rPr>
            </w:pPr>
            <w:r>
              <w:rPr>
                <w:b/>
              </w:rPr>
              <w:t>Наименование населенного пункта</w:t>
            </w:r>
          </w:p>
        </w:tc>
        <w:tc>
          <w:tcPr>
            <w:tcW w:w="11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hanging="0"/>
              <w:jc w:val="center"/>
              <w:rPr>
                <w:b/>
                <w:b/>
              </w:rPr>
            </w:pPr>
            <w:r>
              <w:rPr>
                <w:b/>
              </w:rPr>
              <w:t>Диаметр труб (мм)</w:t>
            </w:r>
          </w:p>
        </w:tc>
        <w:tc>
          <w:tcPr>
            <w:tcW w:w="124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left="-110" w:right="-107" w:hanging="0"/>
              <w:jc w:val="center"/>
              <w:rPr>
                <w:b/>
                <w:b/>
              </w:rPr>
            </w:pPr>
            <w:r>
              <w:rPr>
                <w:b/>
              </w:rPr>
              <w:t>Материалы труб</w:t>
            </w:r>
          </w:p>
        </w:tc>
        <w:tc>
          <w:tcPr>
            <w:tcW w:w="13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hanging="0"/>
              <w:jc w:val="center"/>
              <w:rPr>
                <w:b/>
                <w:b/>
              </w:rPr>
            </w:pPr>
            <w:r>
              <w:rPr>
                <w:b/>
              </w:rPr>
              <w:t>Тип прокладки</w:t>
            </w:r>
          </w:p>
        </w:tc>
        <w:tc>
          <w:tcPr>
            <w:tcW w:w="12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left="-111" w:right="-103" w:hanging="0"/>
              <w:jc w:val="center"/>
              <w:rPr>
                <w:b/>
                <w:b/>
              </w:rPr>
            </w:pPr>
            <w:r>
              <w:rPr>
                <w:b/>
              </w:rPr>
              <w:t>Средняя глубина заложения до оси трубопроводов</w:t>
            </w:r>
          </w:p>
        </w:tc>
        <w:tc>
          <w:tcPr>
            <w:tcW w:w="11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left="-113" w:right="-101" w:hanging="0"/>
              <w:jc w:val="center"/>
              <w:rPr>
                <w:b/>
                <w:b/>
              </w:rPr>
            </w:pPr>
            <w:r>
              <w:rPr>
                <w:b/>
              </w:rPr>
              <w:t>Год строительства</w:t>
            </w:r>
          </w:p>
        </w:tc>
        <w:tc>
          <w:tcPr>
            <w:tcW w:w="98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left="-115" w:right="-105" w:hanging="0"/>
              <w:jc w:val="center"/>
              <w:rPr>
                <w:b/>
                <w:b/>
              </w:rPr>
            </w:pPr>
            <w:r>
              <w:rPr>
                <w:b/>
              </w:rPr>
              <w:t>Процент износа,</w:t>
            </w:r>
          </w:p>
          <w:p>
            <w:pPr>
              <w:pStyle w:val="Normal"/>
              <w:spacing w:lineRule="auto" w:line="240" w:before="0" w:after="0"/>
              <w:ind w:hanging="0"/>
              <w:jc w:val="center"/>
              <w:rPr>
                <w:b/>
                <w:b/>
              </w:rPr>
            </w:pPr>
            <w:r>
              <w:rPr>
                <w:b/>
              </w:rPr>
              <w:t>%</w:t>
            </w:r>
          </w:p>
        </w:tc>
      </w:tr>
      <w:tr>
        <w:trPr/>
        <w:tc>
          <w:tcPr>
            <w:tcW w:w="22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hanging="0"/>
              <w:jc w:val="center"/>
              <w:rPr>
                <w:szCs w:val="28"/>
              </w:rPr>
            </w:pPr>
            <w:r>
              <w:rPr>
                <w:szCs w:val="28"/>
              </w:rPr>
              <w:t>Алексеевское МО</w:t>
            </w:r>
          </w:p>
        </w:tc>
        <w:tc>
          <w:tcPr>
            <w:tcW w:w="11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8" w:type="dxa"/>
            </w:tcMar>
            <w:vAlign w:val="center"/>
          </w:tcPr>
          <w:p>
            <w:pPr>
              <w:pStyle w:val="Normal"/>
              <w:spacing w:lineRule="auto" w:line="240" w:before="0" w:after="0"/>
              <w:ind w:hanging="0"/>
              <w:jc w:val="center"/>
              <w:rPr>
                <w:szCs w:val="28"/>
              </w:rPr>
            </w:pPr>
            <w:r>
              <w:rPr>
                <w:szCs w:val="28"/>
              </w:rPr>
              <w:t>32-159</w:t>
            </w:r>
          </w:p>
        </w:tc>
        <w:tc>
          <w:tcPr>
            <w:tcW w:w="124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hanging="0"/>
              <w:jc w:val="center"/>
              <w:rPr>
                <w:szCs w:val="28"/>
              </w:rPr>
            </w:pPr>
            <w:r>
              <w:rPr>
                <w:szCs w:val="28"/>
              </w:rPr>
              <w:t>Сталь</w:t>
            </w:r>
          </w:p>
        </w:tc>
        <w:tc>
          <w:tcPr>
            <w:tcW w:w="13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hanging="0"/>
              <w:jc w:val="center"/>
              <w:rPr>
                <w:szCs w:val="28"/>
              </w:rPr>
            </w:pPr>
            <w:r>
              <w:rPr>
                <w:szCs w:val="28"/>
              </w:rPr>
              <w:t>подземная</w:t>
            </w:r>
          </w:p>
        </w:tc>
        <w:tc>
          <w:tcPr>
            <w:tcW w:w="12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hanging="0"/>
              <w:jc w:val="center"/>
              <w:rPr/>
            </w:pPr>
            <w:r>
              <w:rPr/>
              <w:t>0,2 м</w:t>
            </w:r>
          </w:p>
        </w:tc>
        <w:tc>
          <w:tcPr>
            <w:tcW w:w="11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8" w:type="dxa"/>
            </w:tcMar>
            <w:vAlign w:val="center"/>
          </w:tcPr>
          <w:p>
            <w:pPr>
              <w:pStyle w:val="Normal"/>
              <w:spacing w:lineRule="auto" w:line="240" w:before="0" w:after="0"/>
              <w:ind w:hanging="0"/>
              <w:jc w:val="center"/>
              <w:rPr/>
            </w:pPr>
            <w:r>
              <w:rPr/>
              <w:t>1978</w:t>
            </w:r>
          </w:p>
        </w:tc>
        <w:tc>
          <w:tcPr>
            <w:tcW w:w="98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ind w:hanging="0"/>
              <w:jc w:val="center"/>
              <w:rPr/>
            </w:pPr>
            <w:r>
              <w:rPr/>
              <w:t>60</w:t>
            </w:r>
          </w:p>
        </w:tc>
      </w:tr>
    </w:tbl>
    <w:p>
      <w:pPr>
        <w:pStyle w:val="2"/>
        <w:keepNext/>
        <w:keepLines w:val="false"/>
        <w:widowControl w:val="false"/>
        <w:numPr>
          <w:ilvl w:val="0"/>
          <w:numId w:val="0"/>
        </w:numPr>
        <w:spacing w:lineRule="auto" w:line="360" w:before="120" w:after="200"/>
        <w:ind w:firstLine="567"/>
        <w:rPr>
          <w:b w:val="false"/>
          <w:b w:val="false"/>
          <w:sz w:val="28"/>
          <w:szCs w:val="28"/>
        </w:rPr>
      </w:pPr>
      <w:r>
        <w:rPr>
          <w:b w:val="false"/>
          <w:sz w:val="28"/>
          <w:szCs w:val="28"/>
        </w:rPr>
        <w:t xml:space="preserve">Протяженность сети водоснабжения Алексеевского муниципального образования составляет 11,11 км, из них 6,6 км, являются ветхими и нуждаются в замене. В приложении к схеме (схема размещения объектов системы водоснабжения) отражены все объекты водоснабжения с указанием длин и диаметров участков сети. </w:t>
      </w:r>
    </w:p>
    <w:p>
      <w:pPr>
        <w:pStyle w:val="2"/>
        <w:numPr>
          <w:ilvl w:val="0"/>
          <w:numId w:val="0"/>
        </w:numPr>
        <w:spacing w:lineRule="auto" w:line="360" w:before="120" w:after="240"/>
        <w:ind w:firstLine="567"/>
        <w:rPr>
          <w:sz w:val="28"/>
          <w:szCs w:val="28"/>
        </w:rPr>
      </w:pPr>
      <w:r>
        <w:rPr>
          <w:sz w:val="28"/>
          <w:szCs w:val="28"/>
        </w:rPr>
        <w:t>1.1.4.5 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pPr>
        <w:pStyle w:val="Normal"/>
        <w:spacing w:lineRule="auto" w:line="360" w:before="0" w:after="0"/>
        <w:rPr>
          <w:sz w:val="28"/>
          <w:szCs w:val="28"/>
        </w:rPr>
      </w:pPr>
      <w:r>
        <w:rPr>
          <w:sz w:val="28"/>
          <w:szCs w:val="28"/>
        </w:rPr>
        <w:t>В муниципальном образовании Алексеевского городского поселения существует большая техническая проблема. По ул. Лесная, д.10 над местом прохождения централизованной сети водоснабжения, построен четырех-квартирный жилой дом, кроме того водотрасса пролегает под землей огородов 12 домовладений, что делает обслуживание и своевременное устранение возможных аварий трудоемким и длительным процессом. В 2018 году были 2 аварии в системе водоснабжения, одна из которых в районе ул. Лесная д.10. Поступали обращения в январе, феврале 2018 года в связи с замерзанием трубы на вводе в дом (причина - владельцы своевременно не утепляют).</w:t>
      </w:r>
    </w:p>
    <w:p>
      <w:pPr>
        <w:pStyle w:val="Normal"/>
        <w:spacing w:lineRule="auto" w:line="360" w:before="0" w:after="0"/>
        <w:rPr>
          <w:sz w:val="28"/>
          <w:szCs w:val="28"/>
        </w:rPr>
      </w:pPr>
      <w:r>
        <w:rPr>
          <w:sz w:val="28"/>
          <w:szCs w:val="28"/>
        </w:rPr>
        <w:t>Вместе с тем, требуется прокладка дополнительных сетей водоснабжения, для строительства резервного участка водопроводной сети.</w:t>
      </w:r>
    </w:p>
    <w:p>
      <w:pPr>
        <w:pStyle w:val="Normal"/>
        <w:spacing w:lineRule="auto" w:line="360" w:before="0" w:after="0"/>
        <w:rPr>
          <w:sz w:val="28"/>
          <w:szCs w:val="28"/>
        </w:rPr>
      </w:pPr>
      <w:r>
        <w:rPr>
          <w:sz w:val="28"/>
          <w:szCs w:val="28"/>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в настоящее время отсутствуют.</w:t>
      </w:r>
    </w:p>
    <w:p>
      <w:pPr>
        <w:pStyle w:val="2"/>
        <w:numPr>
          <w:ilvl w:val="0"/>
          <w:numId w:val="0"/>
        </w:numPr>
        <w:spacing w:lineRule="auto" w:line="360" w:before="120" w:after="240"/>
        <w:ind w:firstLine="567"/>
        <w:rPr>
          <w:sz w:val="28"/>
          <w:szCs w:val="28"/>
        </w:rPr>
      </w:pPr>
      <w:bookmarkStart w:id="28" w:name="_Toc381715488"/>
      <w:bookmarkStart w:id="29" w:name="_Toc380482128"/>
      <w:bookmarkEnd w:id="28"/>
      <w:bookmarkEnd w:id="29"/>
      <w:r>
        <w:rPr>
          <w:sz w:val="28"/>
          <w:szCs w:val="28"/>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pPr>
        <w:pStyle w:val="Normal"/>
        <w:spacing w:lineRule="auto" w:line="360" w:before="0" w:after="0"/>
        <w:rPr>
          <w:sz w:val="28"/>
          <w:szCs w:val="28"/>
        </w:rPr>
      </w:pPr>
      <w:r>
        <w:rPr>
          <w:sz w:val="28"/>
          <w:szCs w:val="28"/>
        </w:rPr>
        <w:t>На территории муниципального образования Алексеевского городского поселения централизованная система горячего водоснабжения отсутствует. Проектирование и строительство централизованной сети горячего водоснабжения в Алексеевском городском поселении на период расчетного 2034 года не планируется в виду отсутствия заявок от населения, высоких капиталовложений, а так же нецелесообразности проекта.</w:t>
      </w:r>
    </w:p>
    <w:p>
      <w:pPr>
        <w:pStyle w:val="2"/>
        <w:numPr>
          <w:ilvl w:val="0"/>
          <w:numId w:val="0"/>
        </w:numPr>
        <w:spacing w:lineRule="auto" w:line="360" w:before="120" w:after="240"/>
        <w:ind w:firstLine="567"/>
        <w:rPr>
          <w:sz w:val="28"/>
          <w:szCs w:val="28"/>
        </w:rPr>
      </w:pPr>
      <w:r>
        <w:rPr>
          <w:sz w:val="28"/>
          <w:szCs w:val="28"/>
        </w:rPr>
        <w:t xml:space="preserve">1.1.5 </w:t>
      </w:r>
      <w:bookmarkStart w:id="30" w:name="_Toc381715489"/>
      <w:bookmarkStart w:id="31" w:name="_Toc380482129"/>
      <w:bookmarkEnd w:id="30"/>
      <w:bookmarkEnd w:id="31"/>
      <w:r>
        <w:rPr>
          <w:sz w:val="28"/>
          <w:szCs w:val="28"/>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pPr>
        <w:pStyle w:val="Normal"/>
        <w:spacing w:lineRule="auto" w:line="360" w:before="0" w:after="0"/>
        <w:rPr>
          <w:color w:val="FF0000"/>
          <w:sz w:val="28"/>
          <w:szCs w:val="28"/>
        </w:rPr>
      </w:pPr>
      <w:r>
        <w:rPr>
          <w:sz w:val="28"/>
          <w:szCs w:val="28"/>
        </w:rPr>
        <w:t>Муниципальное образование Алексеевского городского поселения не относится к территории вечномерзлых грунтов. В связи, с чем отсутствует необходимость технических и технологических решений по предотвращению замерзания воды. Прокладка труб сети водоснабжения осуществлена на глубине 0,2 м.</w:t>
      </w:r>
      <w:r>
        <w:rPr>
          <w:color w:val="FF0000"/>
          <w:sz w:val="28"/>
          <w:szCs w:val="28"/>
        </w:rPr>
        <w:t xml:space="preserve"> </w:t>
      </w:r>
      <w:r>
        <w:rPr>
          <w:sz w:val="28"/>
          <w:szCs w:val="28"/>
        </w:rPr>
        <w:t xml:space="preserve">Вода к потребителям поступает </w:t>
      </w:r>
      <w:r>
        <w:rPr>
          <w:color w:val="FF0000"/>
          <w:sz w:val="28"/>
          <w:szCs w:val="28"/>
        </w:rPr>
        <w:t>«</w:t>
      </w:r>
      <w:r>
        <w:rPr>
          <w:sz w:val="28"/>
          <w:szCs w:val="28"/>
        </w:rPr>
        <w:t>самотеком</w:t>
      </w:r>
      <w:r>
        <w:rPr>
          <w:color w:val="FF0000"/>
          <w:sz w:val="28"/>
          <w:szCs w:val="28"/>
        </w:rPr>
        <w:t>»</w:t>
      </w:r>
      <w:r>
        <w:rPr>
          <w:sz w:val="28"/>
          <w:szCs w:val="28"/>
        </w:rPr>
        <w:t>. Промерзание сети централизованного водоснабжения не зафиксированы, однако существуют однократные промерзания отводящих сетей водоснабжения на вводе к потребителю. Для предотвращения замерзания воды на вводе в здания, достаточно утеплить трубы с помощью материала на основе вспененного полипропилена или полиэтилена по средствам самого абонента (потребителя).</w:t>
      </w:r>
      <w:r>
        <w:rPr>
          <w:color w:val="FF0000"/>
          <w:sz w:val="28"/>
          <w:szCs w:val="28"/>
        </w:rPr>
        <w:t xml:space="preserve"> </w:t>
      </w:r>
    </w:p>
    <w:p>
      <w:pPr>
        <w:pStyle w:val="2"/>
        <w:numPr>
          <w:ilvl w:val="0"/>
          <w:numId w:val="0"/>
        </w:numPr>
        <w:spacing w:lineRule="auto" w:line="360" w:before="120" w:after="240"/>
        <w:ind w:firstLine="567"/>
        <w:rPr>
          <w:sz w:val="28"/>
          <w:szCs w:val="28"/>
        </w:rPr>
      </w:pPr>
      <w:bookmarkStart w:id="32" w:name="_Toc381715490"/>
      <w:bookmarkStart w:id="33" w:name="_Toc380482130"/>
      <w:r>
        <w:rPr>
          <w:sz w:val="28"/>
          <w:szCs w:val="28"/>
        </w:rPr>
        <w:t>1.1.6 Перечень организаций, владеющих объектами централизованной  системой водоснабжения</w:t>
      </w:r>
      <w:bookmarkEnd w:id="32"/>
      <w:bookmarkEnd w:id="33"/>
      <w:r>
        <w:rPr>
          <w:sz w:val="28"/>
          <w:szCs w:val="28"/>
        </w:rPr>
        <w:t>.</w:t>
      </w:r>
    </w:p>
    <w:p>
      <w:pPr>
        <w:pStyle w:val="Normal"/>
        <w:spacing w:lineRule="auto" w:line="360" w:before="0" w:after="0"/>
        <w:rPr>
          <w:sz w:val="28"/>
          <w:szCs w:val="28"/>
        </w:rPr>
      </w:pPr>
      <w:r>
        <w:rPr>
          <w:sz w:val="28"/>
          <w:szCs w:val="28"/>
        </w:rPr>
        <w:t>Оборудование и сети системы водоснабжения находятся в собственности администрации Алексеевского муниципального образования. Обслуживающей организацией является ООО "Норд Трейд". На праве договора водопользования № 38-18.03.01.004 - Р-ДХВО-С-2014-01636/00 от 15.08.2014г с Министерством природных ресурсов и экологии Иркутской области.</w:t>
      </w:r>
    </w:p>
    <w:p>
      <w:pPr>
        <w:pStyle w:val="2"/>
        <w:numPr>
          <w:ilvl w:val="1"/>
          <w:numId w:val="2"/>
        </w:numPr>
        <w:spacing w:lineRule="auto" w:line="360" w:before="120" w:after="240"/>
        <w:ind w:left="0" w:firstLine="567"/>
        <w:rPr>
          <w:sz w:val="28"/>
          <w:szCs w:val="28"/>
        </w:rPr>
      </w:pPr>
      <w:bookmarkStart w:id="34" w:name="_Toc381715491"/>
      <w:bookmarkStart w:id="35" w:name="_Toc380482131"/>
      <w:r>
        <w:rPr>
          <w:sz w:val="28"/>
          <w:szCs w:val="28"/>
        </w:rPr>
        <w:t xml:space="preserve"> </w:t>
      </w:r>
      <w:r>
        <w:rPr>
          <w:sz w:val="28"/>
          <w:szCs w:val="28"/>
        </w:rPr>
        <w:t>НАПРАВЛЕНИЯ РАЗВИТИЯ ЦЕНТРАЛИЗОВАННЫХ СИСТЕМ ВОДОСНАБЖЕНИЯ</w:t>
      </w:r>
      <w:bookmarkEnd w:id="34"/>
      <w:bookmarkEnd w:id="35"/>
      <w:r>
        <w:rPr>
          <w:sz w:val="28"/>
          <w:szCs w:val="28"/>
        </w:rPr>
        <w:t>.</w:t>
      </w:r>
    </w:p>
    <w:p>
      <w:pPr>
        <w:pStyle w:val="2"/>
        <w:numPr>
          <w:ilvl w:val="2"/>
          <w:numId w:val="2"/>
        </w:numPr>
        <w:spacing w:lineRule="auto" w:line="360" w:before="120" w:after="240"/>
        <w:ind w:left="0" w:firstLine="567"/>
        <w:rPr>
          <w:sz w:val="28"/>
          <w:szCs w:val="28"/>
        </w:rPr>
      </w:pPr>
      <w:bookmarkStart w:id="36" w:name="_Toc381715492"/>
      <w:bookmarkStart w:id="37" w:name="_Toc380482132"/>
      <w:bookmarkEnd w:id="36"/>
      <w:bookmarkEnd w:id="37"/>
      <w:r>
        <w:rPr>
          <w:sz w:val="28"/>
          <w:szCs w:val="28"/>
        </w:rPr>
        <w:t>Основные направления, принципы, задачи и целевые показатели развития централизованных систем водоснабжения</w:t>
      </w:r>
    </w:p>
    <w:p>
      <w:pPr>
        <w:pStyle w:val="Normal"/>
        <w:spacing w:lineRule="auto" w:line="360" w:before="0" w:after="0"/>
        <w:rPr>
          <w:sz w:val="28"/>
          <w:szCs w:val="28"/>
        </w:rPr>
      </w:pPr>
      <w:r>
        <w:rPr>
          <w:sz w:val="28"/>
          <w:szCs w:val="28"/>
        </w:rPr>
        <w:t xml:space="preserve"> </w:t>
      </w:r>
      <w:r>
        <w:rPr>
          <w:sz w:val="28"/>
          <w:szCs w:val="28"/>
        </w:rPr>
        <w:t>Схема водоснабжения муниципального образования на период до 2034 года разработана в целях реализации государственной политики в сфере водоснабжения, направленной на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w:t>
      </w:r>
    </w:p>
    <w:p>
      <w:pPr>
        <w:pStyle w:val="Normal"/>
        <w:spacing w:lineRule="auto" w:line="360" w:before="0" w:after="0"/>
        <w:rPr>
          <w:sz w:val="28"/>
          <w:szCs w:val="28"/>
        </w:rPr>
      </w:pPr>
      <w:r>
        <w:rPr>
          <w:sz w:val="28"/>
          <w:szCs w:val="28"/>
        </w:rPr>
        <w:t>Принципами развития, централизованной системы водоснабжения муниципального образования Алексеевского городского поселения, являются:</w:t>
      </w:r>
    </w:p>
    <w:p>
      <w:pPr>
        <w:pStyle w:val="Normal"/>
        <w:spacing w:lineRule="auto" w:line="360" w:before="0" w:after="0"/>
        <w:rPr>
          <w:sz w:val="28"/>
          <w:szCs w:val="28"/>
        </w:rPr>
      </w:pPr>
      <w:r>
        <w:rPr>
          <w:sz w:val="28"/>
          <w:szCs w:val="28"/>
        </w:rPr>
        <w:t>-</w:t>
        <w:tab/>
        <w:t xml:space="preserve">постоянное улучшение качества предоставления услуг водоснабжения потребителям (абонентам); </w:t>
      </w:r>
    </w:p>
    <w:p>
      <w:pPr>
        <w:pStyle w:val="Normal"/>
        <w:spacing w:lineRule="auto" w:line="360" w:before="0" w:after="0"/>
        <w:rPr>
          <w:sz w:val="28"/>
          <w:szCs w:val="28"/>
        </w:rPr>
      </w:pPr>
      <w:r>
        <w:rPr>
          <w:sz w:val="28"/>
          <w:szCs w:val="28"/>
        </w:rPr>
        <w:t>-</w:t>
        <w:tab/>
        <w:t xml:space="preserve">удовлетворение потребности в обеспечении услугой водоснабжения новых объектов строительства; </w:t>
      </w:r>
    </w:p>
    <w:p>
      <w:pPr>
        <w:pStyle w:val="Normal"/>
        <w:spacing w:lineRule="auto" w:line="360" w:before="0" w:after="0"/>
        <w:rPr>
          <w:sz w:val="28"/>
          <w:szCs w:val="28"/>
        </w:rPr>
      </w:pPr>
      <w:r>
        <w:rPr>
          <w:sz w:val="28"/>
          <w:szCs w:val="28"/>
        </w:rPr>
        <w:t>-</w:t>
        <w:tab/>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pPr>
        <w:pStyle w:val="Normal"/>
        <w:spacing w:lineRule="auto" w:line="360" w:before="0" w:after="0"/>
        <w:rPr>
          <w:sz w:val="28"/>
          <w:szCs w:val="28"/>
        </w:rPr>
      </w:pPr>
      <w:r>
        <w:rPr>
          <w:sz w:val="28"/>
          <w:szCs w:val="28"/>
        </w:rPr>
        <w:t xml:space="preserve">  </w:t>
      </w:r>
      <w:r>
        <w:rPr>
          <w:sz w:val="28"/>
          <w:szCs w:val="28"/>
        </w:rPr>
        <w:t xml:space="preserve">Основные задачи развития системы водоснабжения: </w:t>
      </w:r>
    </w:p>
    <w:p>
      <w:pPr>
        <w:pStyle w:val="13"/>
        <w:numPr>
          <w:ilvl w:val="0"/>
          <w:numId w:val="4"/>
        </w:numPr>
        <w:spacing w:lineRule="auto" w:line="360"/>
        <w:ind w:left="0" w:firstLine="709"/>
        <w:jc w:val="both"/>
        <w:rPr>
          <w:sz w:val="28"/>
          <w:szCs w:val="28"/>
        </w:rPr>
      </w:pPr>
      <w:r>
        <w:rPr>
          <w:sz w:val="28"/>
          <w:szCs w:val="28"/>
        </w:rPr>
        <w:t xml:space="preserve">реконструкция и модернизация существующего источника и водопроводной сети с целью обеспечения качества воды, поставляемой потребителям, повышения надежности водоснабжения и снижения аварийности; </w:t>
      </w:r>
    </w:p>
    <w:p>
      <w:pPr>
        <w:pStyle w:val="13"/>
        <w:numPr>
          <w:ilvl w:val="0"/>
          <w:numId w:val="4"/>
        </w:numPr>
        <w:spacing w:lineRule="auto" w:line="360"/>
        <w:ind w:left="0" w:firstLine="709"/>
        <w:jc w:val="both"/>
        <w:rPr>
          <w:sz w:val="28"/>
          <w:szCs w:val="28"/>
        </w:rPr>
      </w:pPr>
      <w:r>
        <w:rPr>
          <w:sz w:val="28"/>
          <w:szCs w:val="28"/>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pPr>
        <w:pStyle w:val="13"/>
        <w:numPr>
          <w:ilvl w:val="0"/>
          <w:numId w:val="4"/>
        </w:numPr>
        <w:spacing w:lineRule="auto" w:line="360"/>
        <w:ind w:left="0" w:firstLine="709"/>
        <w:jc w:val="both"/>
        <w:rPr>
          <w:sz w:val="28"/>
          <w:szCs w:val="28"/>
        </w:rPr>
      </w:pPr>
      <w:r>
        <w:rPr>
          <w:sz w:val="28"/>
          <w:szCs w:val="28"/>
        </w:rPr>
        <w:t>строительство сетей и сооружений для водоснабжения осваиваемых и преобразуемых территорий, а также отдельных территорий муниципального образования, не имеющих централизованного водоснабжения с целью обеспечения доступности  услуг водоснабжения для всех жителей;</w:t>
      </w:r>
    </w:p>
    <w:p>
      <w:pPr>
        <w:pStyle w:val="13"/>
        <w:numPr>
          <w:ilvl w:val="0"/>
          <w:numId w:val="4"/>
        </w:numPr>
        <w:spacing w:lineRule="auto" w:line="360"/>
        <w:ind w:left="0" w:firstLine="709"/>
        <w:jc w:val="both"/>
        <w:rPr>
          <w:sz w:val="28"/>
          <w:szCs w:val="28"/>
        </w:rPr>
      </w:pPr>
      <w:r>
        <w:rPr>
          <w:sz w:val="28"/>
          <w:szCs w:val="28"/>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pPr>
        <w:pStyle w:val="13"/>
        <w:numPr>
          <w:ilvl w:val="0"/>
          <w:numId w:val="4"/>
        </w:numPr>
        <w:spacing w:lineRule="auto" w:line="360"/>
        <w:ind w:left="0" w:firstLine="709"/>
        <w:jc w:val="both"/>
        <w:rPr>
          <w:sz w:val="28"/>
          <w:szCs w:val="28"/>
        </w:rPr>
      </w:pPr>
      <w:r>
        <w:rPr>
          <w:sz w:val="28"/>
          <w:szCs w:val="28"/>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pPr>
        <w:pStyle w:val="13"/>
        <w:numPr>
          <w:ilvl w:val="0"/>
          <w:numId w:val="4"/>
        </w:numPr>
        <w:spacing w:lineRule="auto" w:line="360"/>
        <w:ind w:left="0" w:firstLine="709"/>
        <w:jc w:val="both"/>
        <w:rPr>
          <w:sz w:val="28"/>
          <w:szCs w:val="28"/>
        </w:rPr>
      </w:pPr>
      <w:r>
        <w:rPr>
          <w:sz w:val="28"/>
          <w:szCs w:val="28"/>
        </w:rPr>
        <w:t xml:space="preserve">улучшение обеспечения населения питьевой водой нормативного качества и в достаточном количестве, улучшение на этой основе здоровья человека; </w:t>
      </w:r>
    </w:p>
    <w:p>
      <w:pPr>
        <w:pStyle w:val="13"/>
        <w:numPr>
          <w:ilvl w:val="0"/>
          <w:numId w:val="4"/>
        </w:numPr>
        <w:spacing w:lineRule="auto" w:line="360"/>
        <w:ind w:left="357" w:firstLine="709"/>
        <w:jc w:val="both"/>
        <w:rPr>
          <w:sz w:val="28"/>
          <w:szCs w:val="28"/>
        </w:rPr>
      </w:pPr>
      <w:r>
        <w:rPr>
          <w:sz w:val="28"/>
          <w:szCs w:val="28"/>
        </w:rPr>
        <w:t xml:space="preserve">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 </w:t>
        <w:tab/>
        <w:tab/>
      </w:r>
    </w:p>
    <w:p>
      <w:pPr>
        <w:pStyle w:val="13"/>
        <w:spacing w:lineRule="auto" w:line="360"/>
        <w:ind w:left="357" w:hanging="0"/>
        <w:jc w:val="right"/>
        <w:rPr>
          <w:sz w:val="28"/>
          <w:szCs w:val="28"/>
        </w:rPr>
      </w:pPr>
      <w:r>
        <w:rPr>
          <w:sz w:val="28"/>
          <w:szCs w:val="28"/>
        </w:rPr>
        <w:t>Табл. 1.3 – Целевые показатели на 2018 г.</w:t>
      </w:r>
    </w:p>
    <w:tbl>
      <w:tblPr>
        <w:tblW w:w="5000" w:type="pct"/>
        <w:jc w:val="left"/>
        <w:tblInd w:w="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left w:w="40" w:type="dxa"/>
          <w:bottom w:w="28" w:type="dxa"/>
          <w:right w:w="40" w:type="dxa"/>
        </w:tblCellMar>
        <w:tblLook w:val="0000"/>
      </w:tblPr>
      <w:tblGrid>
        <w:gridCol w:w="3212"/>
        <w:gridCol w:w="4943"/>
        <w:gridCol w:w="1767"/>
      </w:tblGrid>
      <w:tr>
        <w:trPr>
          <w:tblHeader w:val="true"/>
          <w:trHeight w:val="283" w:hRule="atLeast"/>
        </w:trPr>
        <w:tc>
          <w:tcPr>
            <w:tcW w:w="32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center"/>
              <w:rPr>
                <w:b/>
                <w:b/>
                <w:szCs w:val="24"/>
              </w:rPr>
            </w:pPr>
            <w:r>
              <w:rPr>
                <w:b/>
                <w:szCs w:val="24"/>
                <w:lang w:eastAsia="ru-RU"/>
              </w:rPr>
              <w:t>Группа</w:t>
            </w:r>
          </w:p>
        </w:tc>
        <w:tc>
          <w:tcPr>
            <w:tcW w:w="671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center"/>
              <w:rPr>
                <w:b/>
                <w:b/>
                <w:szCs w:val="24"/>
                <w:lang w:eastAsia="ru-RU"/>
              </w:rPr>
            </w:pPr>
            <w:r>
              <w:rPr>
                <w:b/>
                <w:szCs w:val="24"/>
                <w:lang w:eastAsia="ru-RU"/>
              </w:rPr>
              <w:t>Целевые показатели на 2018 год</w:t>
            </w:r>
          </w:p>
        </w:tc>
      </w:tr>
      <w:tr>
        <w:trPr>
          <w:trHeight w:val="315" w:hRule="atLeast"/>
        </w:trPr>
        <w:tc>
          <w:tcPr>
            <w:tcW w:w="321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hanging="0"/>
              <w:jc w:val="left"/>
              <w:rPr>
                <w:szCs w:val="24"/>
              </w:rPr>
            </w:pPr>
            <w:r>
              <w:rPr>
                <w:szCs w:val="24"/>
                <w:lang w:eastAsia="ru-RU"/>
              </w:rPr>
              <w:t>1. Показатели качества воды</w:t>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1. Удельный вес проб воды у потребителя, которые не отвечают гигиеническим нормативам по санитарно-химическим показателям, %</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hanging="0"/>
              <w:jc w:val="center"/>
              <w:rPr>
                <w:szCs w:val="24"/>
              </w:rPr>
            </w:pPr>
            <w:r>
              <w:rPr>
                <w:szCs w:val="24"/>
                <w:lang w:eastAsia="ru-RU"/>
              </w:rPr>
              <w:t>0</w:t>
            </w:r>
          </w:p>
        </w:tc>
      </w:tr>
      <w:tr>
        <w:trPr>
          <w:trHeight w:val="315" w:hRule="atLeast"/>
        </w:trPr>
        <w:tc>
          <w:tcPr>
            <w:tcW w:w="321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hanging="0"/>
              <w:jc w:val="left"/>
              <w:rPr>
                <w:szCs w:val="24"/>
                <w:lang w:eastAsia="ru-RU"/>
              </w:rPr>
            </w:pPr>
            <w:r>
              <w:rPr>
                <w:szCs w:val="24"/>
                <w:lang w:eastAsia="ru-RU"/>
              </w:rPr>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2. Удельный вес проб воды у потребителя, которые не отвечают гигиеническим нормативам по микробиологическим показателям, %</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hanging="0"/>
              <w:jc w:val="center"/>
              <w:rPr>
                <w:szCs w:val="24"/>
              </w:rPr>
            </w:pPr>
            <w:r>
              <w:rPr>
                <w:szCs w:val="24"/>
                <w:lang w:eastAsia="ru-RU"/>
              </w:rPr>
              <w:t>0</w:t>
            </w:r>
          </w:p>
        </w:tc>
      </w:tr>
      <w:tr>
        <w:trPr>
          <w:trHeight w:val="465" w:hRule="atLeast"/>
        </w:trPr>
        <w:tc>
          <w:tcPr>
            <w:tcW w:w="321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hanging="0"/>
              <w:jc w:val="left"/>
              <w:rPr>
                <w:szCs w:val="24"/>
              </w:rPr>
            </w:pPr>
            <w:r>
              <w:rPr>
                <w:szCs w:val="24"/>
                <w:lang w:eastAsia="ru-RU"/>
              </w:rPr>
              <w:t>2. Показатели надежности и бесперебойности водоснабжения</w:t>
            </w:r>
          </w:p>
          <w:p>
            <w:pPr>
              <w:pStyle w:val="Normal"/>
              <w:spacing w:lineRule="auto" w:line="240" w:before="0" w:after="0"/>
              <w:ind w:hanging="0"/>
              <w:jc w:val="left"/>
              <w:rPr>
                <w:szCs w:val="24"/>
                <w:lang w:eastAsia="ru-RU"/>
              </w:rPr>
            </w:pPr>
            <w:r>
              <w:rPr>
                <w:szCs w:val="24"/>
                <w:lang w:eastAsia="ru-RU"/>
              </w:rPr>
            </w:r>
          </w:p>
          <w:p>
            <w:pPr>
              <w:pStyle w:val="Normal"/>
              <w:spacing w:lineRule="auto" w:line="240" w:before="0" w:after="0"/>
              <w:jc w:val="left"/>
              <w:rPr>
                <w:szCs w:val="24"/>
              </w:rPr>
            </w:pPr>
            <w:r>
              <w:rPr>
                <w:szCs w:val="24"/>
              </w:rPr>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1. Водопроводные сети, нуждающиеся в замене, км</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hanging="0"/>
              <w:jc w:val="center"/>
              <w:rPr>
                <w:szCs w:val="24"/>
                <w:lang w:eastAsia="ru-RU"/>
              </w:rPr>
            </w:pPr>
            <w:r>
              <w:rPr>
                <w:szCs w:val="24"/>
                <w:lang w:eastAsia="ru-RU"/>
              </w:rPr>
              <w:t>6,6</w:t>
            </w:r>
          </w:p>
        </w:tc>
      </w:tr>
      <w:tr>
        <w:trPr>
          <w:trHeight w:val="510" w:hRule="atLeast"/>
        </w:trPr>
        <w:tc>
          <w:tcPr>
            <w:tcW w:w="321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hanging="0"/>
              <w:jc w:val="left"/>
              <w:rPr>
                <w:szCs w:val="24"/>
                <w:lang w:eastAsia="ru-RU"/>
              </w:rPr>
            </w:pPr>
            <w:r>
              <w:rPr>
                <w:szCs w:val="24"/>
                <w:lang w:eastAsia="ru-RU"/>
              </w:rPr>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2. Аварийность на сетях водопровода (ед/км)</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hanging="0"/>
              <w:jc w:val="center"/>
              <w:rPr>
                <w:szCs w:val="24"/>
                <w:lang w:eastAsia="ru-RU"/>
              </w:rPr>
            </w:pPr>
            <w:r>
              <w:rPr>
                <w:szCs w:val="24"/>
                <w:lang w:eastAsia="ru-RU"/>
              </w:rPr>
              <w:t>3/11,11</w:t>
            </w:r>
          </w:p>
        </w:tc>
      </w:tr>
      <w:tr>
        <w:trPr>
          <w:trHeight w:val="300" w:hRule="atLeast"/>
        </w:trPr>
        <w:tc>
          <w:tcPr>
            <w:tcW w:w="321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hanging="0"/>
              <w:jc w:val="left"/>
              <w:rPr>
                <w:szCs w:val="24"/>
              </w:rPr>
            </w:pPr>
            <w:r>
              <w:rPr>
                <w:szCs w:val="24"/>
              </w:rPr>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3. Износ водопроводных сетей (в процентах), %</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center"/>
              <w:rPr>
                <w:szCs w:val="24"/>
                <w:lang w:eastAsia="ru-RU"/>
              </w:rPr>
            </w:pPr>
            <w:r>
              <w:rPr>
                <w:szCs w:val="24"/>
                <w:lang w:eastAsia="ru-RU"/>
              </w:rPr>
              <w:t>60</w:t>
            </w:r>
          </w:p>
          <w:p>
            <w:pPr>
              <w:pStyle w:val="Normal"/>
              <w:spacing w:lineRule="auto" w:line="240" w:before="0" w:after="0"/>
              <w:ind w:hanging="0"/>
              <w:jc w:val="center"/>
              <w:rPr>
                <w:szCs w:val="24"/>
                <w:lang w:eastAsia="ru-RU"/>
              </w:rPr>
            </w:pPr>
            <w:r>
              <w:rPr>
                <w:szCs w:val="24"/>
                <w:lang w:eastAsia="ru-RU"/>
              </w:rPr>
            </w:r>
          </w:p>
        </w:tc>
      </w:tr>
      <w:tr>
        <w:trPr>
          <w:trHeight w:val="255" w:hRule="atLeast"/>
        </w:trPr>
        <w:tc>
          <w:tcPr>
            <w:tcW w:w="321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hanging="0"/>
              <w:jc w:val="left"/>
              <w:rPr>
                <w:szCs w:val="24"/>
              </w:rPr>
            </w:pPr>
            <w:r>
              <w:rPr>
                <w:szCs w:val="24"/>
                <w:lang w:eastAsia="ru-RU"/>
              </w:rPr>
              <w:t>3. Показатели качества обслуживания абонентов</w:t>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1. Количество жалоб абонентов на качество питьевой воды (в единицах)</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center"/>
              <w:rPr>
                <w:szCs w:val="24"/>
              </w:rPr>
            </w:pPr>
            <w:r>
              <w:rPr>
                <w:szCs w:val="24"/>
                <w:lang w:eastAsia="ru-RU"/>
              </w:rPr>
              <w:t>-</w:t>
            </w:r>
          </w:p>
        </w:tc>
      </w:tr>
      <w:tr>
        <w:trPr>
          <w:trHeight w:val="255" w:hRule="atLeast"/>
        </w:trPr>
        <w:tc>
          <w:tcPr>
            <w:tcW w:w="321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hanging="0"/>
              <w:jc w:val="left"/>
              <w:rPr>
                <w:szCs w:val="24"/>
              </w:rPr>
            </w:pPr>
            <w:r>
              <w:rPr>
                <w:szCs w:val="24"/>
              </w:rPr>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2. Обеспеченность населения централизованным водоснабжением (в процентах от численности населения), %</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center"/>
              <w:rPr>
                <w:szCs w:val="24"/>
              </w:rPr>
            </w:pPr>
            <w:r>
              <w:rPr>
                <w:szCs w:val="24"/>
                <w:lang w:eastAsia="ru-RU"/>
              </w:rPr>
              <w:t>99%</w:t>
            </w:r>
          </w:p>
        </w:tc>
      </w:tr>
      <w:tr>
        <w:trPr>
          <w:trHeight w:val="1035" w:hRule="atLeast"/>
        </w:trPr>
        <w:tc>
          <w:tcPr>
            <w:tcW w:w="321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hanging="0"/>
              <w:jc w:val="left"/>
              <w:rPr>
                <w:szCs w:val="24"/>
                <w:lang w:eastAsia="ru-RU"/>
              </w:rPr>
            </w:pPr>
            <w:r>
              <w:rPr>
                <w:szCs w:val="24"/>
                <w:lang w:eastAsia="ru-RU"/>
              </w:rPr>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3. Охват абонентов приборами учета (доля абонентов с приборами учета по отношению к общему числу абонентов, в процентах):</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center"/>
              <w:rPr>
                <w:szCs w:val="24"/>
              </w:rPr>
            </w:pPr>
            <w:r>
              <w:rPr>
                <w:szCs w:val="24"/>
              </w:rPr>
            </w:r>
          </w:p>
        </w:tc>
      </w:tr>
      <w:tr>
        <w:trPr>
          <w:trHeight w:val="255" w:hRule="atLeast"/>
        </w:trPr>
        <w:tc>
          <w:tcPr>
            <w:tcW w:w="321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hanging="0"/>
              <w:jc w:val="left"/>
              <w:rPr>
                <w:szCs w:val="24"/>
              </w:rPr>
            </w:pPr>
            <w:r>
              <w:rPr>
                <w:szCs w:val="24"/>
              </w:rPr>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население</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center"/>
              <w:rPr>
                <w:szCs w:val="24"/>
                <w:lang w:eastAsia="ru-RU"/>
              </w:rPr>
            </w:pPr>
            <w:r>
              <w:rPr>
                <w:szCs w:val="24"/>
                <w:lang w:eastAsia="ru-RU"/>
              </w:rPr>
              <w:t>84%</w:t>
            </w:r>
          </w:p>
        </w:tc>
      </w:tr>
      <w:tr>
        <w:trPr>
          <w:trHeight w:val="451" w:hRule="atLeast"/>
        </w:trPr>
        <w:tc>
          <w:tcPr>
            <w:tcW w:w="321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hanging="0"/>
              <w:jc w:val="left"/>
              <w:rPr>
                <w:szCs w:val="24"/>
              </w:rPr>
            </w:pPr>
            <w:r>
              <w:rPr>
                <w:szCs w:val="24"/>
              </w:rPr>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промышленные объекты</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center"/>
              <w:rPr>
                <w:szCs w:val="24"/>
                <w:lang w:eastAsia="ru-RU"/>
              </w:rPr>
            </w:pPr>
            <w:r>
              <w:rPr>
                <w:szCs w:val="24"/>
                <w:lang w:eastAsia="ru-RU"/>
              </w:rPr>
              <w:t>50%</w:t>
            </w:r>
          </w:p>
        </w:tc>
      </w:tr>
      <w:tr>
        <w:trPr>
          <w:trHeight w:val="540" w:hRule="atLeast"/>
        </w:trPr>
        <w:tc>
          <w:tcPr>
            <w:tcW w:w="321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hanging="0"/>
              <w:jc w:val="left"/>
              <w:rPr>
                <w:szCs w:val="24"/>
              </w:rPr>
            </w:pPr>
            <w:r>
              <w:rPr>
                <w:szCs w:val="24"/>
              </w:rPr>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объекты социально-культурного и бытового назначения</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center"/>
              <w:rPr>
                <w:szCs w:val="24"/>
                <w:lang w:eastAsia="ru-RU"/>
              </w:rPr>
            </w:pPr>
            <w:r>
              <w:rPr>
                <w:szCs w:val="24"/>
                <w:lang w:eastAsia="ru-RU"/>
              </w:rPr>
              <w:t>78,5%</w:t>
            </w:r>
          </w:p>
        </w:tc>
      </w:tr>
      <w:tr>
        <w:trPr>
          <w:trHeight w:val="270" w:hRule="atLeast"/>
        </w:trPr>
        <w:tc>
          <w:tcPr>
            <w:tcW w:w="321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hanging="0"/>
              <w:jc w:val="left"/>
              <w:rPr>
                <w:szCs w:val="24"/>
                <w:lang w:eastAsia="ru-RU"/>
              </w:rPr>
            </w:pPr>
            <w:r>
              <w:rPr>
                <w:szCs w:val="24"/>
                <w:lang w:eastAsia="ru-RU"/>
              </w:rPr>
              <w:t>4. Показатели эффективности использования ресурсов, в том числе сокращения потерь воды при транспортировке</w:t>
            </w:r>
          </w:p>
          <w:p>
            <w:pPr>
              <w:pStyle w:val="Normal"/>
              <w:spacing w:lineRule="auto" w:line="240" w:before="0" w:after="0"/>
              <w:ind w:hanging="0"/>
              <w:jc w:val="left"/>
              <w:rPr>
                <w:szCs w:val="24"/>
                <w:lang w:eastAsia="ru-RU"/>
              </w:rPr>
            </w:pPr>
            <w:r>
              <w:rPr>
                <w:szCs w:val="24"/>
                <w:lang w:eastAsia="ru-RU"/>
              </w:rPr>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1. Объем неоплаченной воды от общего объема подачи (в процентах)</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center"/>
              <w:rPr>
                <w:szCs w:val="24"/>
                <w:lang w:eastAsia="ru-RU"/>
              </w:rPr>
            </w:pPr>
            <w:r>
              <w:rPr>
                <w:szCs w:val="24"/>
                <w:lang w:eastAsia="ru-RU"/>
              </w:rPr>
              <w:t>-</w:t>
            </w:r>
          </w:p>
        </w:tc>
      </w:tr>
      <w:tr>
        <w:trPr>
          <w:trHeight w:val="755" w:hRule="atLeast"/>
        </w:trPr>
        <w:tc>
          <w:tcPr>
            <w:tcW w:w="321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jc w:val="left"/>
              <w:rPr>
                <w:szCs w:val="24"/>
                <w:lang w:eastAsia="ru-RU"/>
              </w:rPr>
            </w:pPr>
            <w:r>
              <w:rPr>
                <w:szCs w:val="24"/>
                <w:lang w:eastAsia="ru-RU"/>
              </w:rPr>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2. Потери воды в кубометрах на километр трубопроводов</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center"/>
              <w:rPr>
                <w:szCs w:val="24"/>
                <w:lang w:eastAsia="ru-RU"/>
              </w:rPr>
            </w:pPr>
            <w:r>
              <w:rPr>
                <w:szCs w:val="24"/>
                <w:lang w:eastAsia="ru-RU"/>
              </w:rPr>
              <w:t>1,9</w:t>
            </w:r>
          </w:p>
        </w:tc>
      </w:tr>
      <w:tr>
        <w:trPr>
          <w:trHeight w:val="186" w:hRule="atLeast"/>
        </w:trPr>
        <w:tc>
          <w:tcPr>
            <w:tcW w:w="321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jc w:val="left"/>
              <w:rPr>
                <w:szCs w:val="24"/>
                <w:lang w:eastAsia="ru-RU"/>
              </w:rPr>
            </w:pPr>
            <w:r>
              <w:rPr>
                <w:szCs w:val="24"/>
                <w:lang w:eastAsia="ru-RU"/>
              </w:rPr>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left"/>
              <w:rPr>
                <w:szCs w:val="24"/>
                <w:lang w:eastAsia="ru-RU"/>
              </w:rPr>
            </w:pPr>
            <w:r>
              <w:rPr>
                <w:szCs w:val="24"/>
                <w:lang w:eastAsia="ru-RU"/>
              </w:rPr>
              <w:t>3. Объем снижения потребления электроэнергии за период реализации Инвестиционной программы (тыс.кВт.ч/год)</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center"/>
              <w:rPr>
                <w:szCs w:val="24"/>
                <w:lang w:eastAsia="ru-RU"/>
              </w:rPr>
            </w:pPr>
            <w:r>
              <w:rPr>
                <w:szCs w:val="24"/>
                <w:lang w:eastAsia="ru-RU"/>
              </w:rPr>
              <w:t>-</w:t>
            </w:r>
          </w:p>
        </w:tc>
      </w:tr>
      <w:tr>
        <w:trPr>
          <w:trHeight w:val="992" w:hRule="atLeast"/>
        </w:trPr>
        <w:tc>
          <w:tcPr>
            <w:tcW w:w="32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hanging="0"/>
              <w:jc w:val="left"/>
              <w:rPr>
                <w:szCs w:val="24"/>
                <w:lang w:eastAsia="ru-RU"/>
              </w:rPr>
            </w:pPr>
            <w:r>
              <w:rPr>
                <w:szCs w:val="24"/>
                <w:lang w:eastAsia="ru-RU"/>
              </w:rPr>
              <w:t>5. Соотношение цены реализации мероприятий инвестиционной программы и эффективности (улучшения качества воды)</w:t>
            </w:r>
          </w:p>
        </w:tc>
        <w:tc>
          <w:tcPr>
            <w:tcW w:w="4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rPr>
                <w:szCs w:val="24"/>
                <w:lang w:eastAsia="ru-RU"/>
              </w:rPr>
            </w:pPr>
            <w:r>
              <w:rPr>
                <w:szCs w:val="24"/>
                <w:lang w:eastAsia="ru-RU"/>
              </w:rPr>
              <w:t>1. Доля расходов на оплату услуг в совокупном доходе населения (в процентах)</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hanging="0"/>
              <w:jc w:val="center"/>
              <w:rPr>
                <w:szCs w:val="24"/>
                <w:lang w:eastAsia="ru-RU"/>
              </w:rPr>
            </w:pPr>
            <w:r>
              <w:rPr>
                <w:szCs w:val="24"/>
                <w:lang w:eastAsia="ru-RU"/>
              </w:rPr>
              <w:t>-</w:t>
            </w:r>
          </w:p>
        </w:tc>
      </w:tr>
    </w:tbl>
    <w:p>
      <w:pPr>
        <w:pStyle w:val="2"/>
        <w:numPr>
          <w:ilvl w:val="2"/>
          <w:numId w:val="2"/>
        </w:numPr>
        <w:spacing w:lineRule="auto" w:line="360" w:before="120" w:after="240"/>
        <w:ind w:left="0" w:firstLine="567"/>
        <w:rPr>
          <w:sz w:val="28"/>
          <w:szCs w:val="28"/>
        </w:rPr>
      </w:pPr>
      <w:bookmarkStart w:id="38" w:name="_Toc381715493"/>
      <w:bookmarkStart w:id="39" w:name="_Toc380482133"/>
      <w:r>
        <w:rPr>
          <w:sz w:val="28"/>
          <w:szCs w:val="28"/>
        </w:rPr>
        <w:t>Сценарии развития централизованных систем водоснабжения в зависимости от сценариев развития муниципального образования</w:t>
      </w:r>
      <w:bookmarkEnd w:id="38"/>
      <w:bookmarkEnd w:id="39"/>
      <w:r>
        <w:rPr>
          <w:sz w:val="28"/>
          <w:szCs w:val="28"/>
        </w:rPr>
        <w:t>.</w:t>
      </w:r>
    </w:p>
    <w:p>
      <w:pPr>
        <w:pStyle w:val="2"/>
        <w:numPr>
          <w:ilvl w:val="0"/>
          <w:numId w:val="0"/>
        </w:numPr>
        <w:spacing w:lineRule="auto" w:line="360" w:before="0" w:after="200"/>
        <w:ind w:firstLine="567"/>
        <w:rPr>
          <w:b w:val="false"/>
          <w:b w:val="false"/>
          <w:sz w:val="28"/>
          <w:szCs w:val="28"/>
        </w:rPr>
      </w:pPr>
      <w:r>
        <w:rPr>
          <w:b w:val="false"/>
          <w:sz w:val="28"/>
        </w:rPr>
        <w:t xml:space="preserve">Программой комплексного социально-экономического развития  Муниципального образования Алексеевского городского поселения  до 2034 года, предусмотрено развитие </w:t>
      </w:r>
      <w:r>
        <w:rPr>
          <w:b w:val="false"/>
          <w:sz w:val="28"/>
          <w:szCs w:val="28"/>
        </w:rPr>
        <w:t>на территории поселения коммунальных систем.</w:t>
      </w:r>
    </w:p>
    <w:p>
      <w:pPr>
        <w:pStyle w:val="Normal"/>
        <w:spacing w:lineRule="auto" w:line="360" w:before="0" w:after="0"/>
        <w:rPr>
          <w:sz w:val="28"/>
          <w:szCs w:val="28"/>
        </w:rPr>
      </w:pPr>
      <w:r>
        <w:rPr>
          <w:sz w:val="28"/>
          <w:szCs w:val="28"/>
        </w:rPr>
        <w:t>В настоящее время актуальными мероприятиями по модернизации и развитию системы централизованного водоснабжения муниципального образования является:</w:t>
      </w:r>
    </w:p>
    <w:p>
      <w:pPr>
        <w:pStyle w:val="Normal"/>
        <w:spacing w:lineRule="auto" w:line="360" w:before="0" w:after="0"/>
        <w:rPr>
          <w:sz w:val="28"/>
          <w:szCs w:val="28"/>
        </w:rPr>
      </w:pPr>
      <w:r>
        <w:rPr>
          <w:sz w:val="28"/>
          <w:szCs w:val="28"/>
        </w:rPr>
        <w:t>1. Замена существующего централизованного водоснабжения 6,6 км, ввиду износа 60%.</w:t>
      </w:r>
    </w:p>
    <w:p>
      <w:pPr>
        <w:pStyle w:val="Normal"/>
        <w:spacing w:lineRule="auto" w:line="360" w:before="0" w:after="0"/>
        <w:rPr>
          <w:sz w:val="28"/>
          <w:szCs w:val="28"/>
        </w:rPr>
      </w:pPr>
      <w:r>
        <w:rPr>
          <w:sz w:val="28"/>
          <w:szCs w:val="28"/>
        </w:rPr>
        <w:t>2. Строительство участка резервной водотрассы 380м. От распределительного колодца на территории водозабора, до распределительного колодца у дома кв. Таёжный 1.</w:t>
      </w:r>
    </w:p>
    <w:p>
      <w:pPr>
        <w:pStyle w:val="Normal"/>
        <w:spacing w:lineRule="auto" w:line="360" w:before="0" w:after="0"/>
        <w:rPr>
          <w:sz w:val="28"/>
          <w:szCs w:val="28"/>
        </w:rPr>
      </w:pPr>
      <w:r>
        <w:rPr>
          <w:sz w:val="28"/>
          <w:szCs w:val="28"/>
        </w:rPr>
        <w:t>3. Капитальный ремонт ограждения территории водозабора в связи с ветхостью существующего (для ограничения доступа к объекту (источнику водоснабжения)).</w:t>
      </w:r>
    </w:p>
    <w:p>
      <w:pPr>
        <w:pStyle w:val="13"/>
        <w:spacing w:lineRule="auto" w:line="360"/>
        <w:ind w:left="0" w:firstLine="567"/>
        <w:jc w:val="both"/>
        <w:rPr>
          <w:sz w:val="24"/>
        </w:rPr>
      </w:pPr>
      <w:r>
        <w:rPr>
          <w:sz w:val="28"/>
          <w:szCs w:val="28"/>
        </w:rPr>
        <w:t>Далее будет рассмотрено каждое мероприятие по отдельности с учетом потребностей Алексеевского городского поселения, ростом численности населения и расчетом необходимых мощностей объектов водоснабжения.</w:t>
      </w:r>
    </w:p>
    <w:p>
      <w:pPr>
        <w:pStyle w:val="2"/>
        <w:numPr>
          <w:ilvl w:val="1"/>
          <w:numId w:val="2"/>
        </w:numPr>
        <w:spacing w:lineRule="auto" w:line="360" w:before="120" w:after="200"/>
        <w:ind w:left="0" w:firstLine="567"/>
        <w:rPr>
          <w:sz w:val="28"/>
          <w:szCs w:val="28"/>
        </w:rPr>
      </w:pPr>
      <w:bookmarkStart w:id="40" w:name="_Toc381715494"/>
      <w:bookmarkStart w:id="41" w:name="_Toc380482134"/>
      <w:r>
        <w:rPr/>
        <w:t xml:space="preserve"> </w:t>
      </w:r>
      <w:bookmarkEnd w:id="40"/>
      <w:bookmarkEnd w:id="41"/>
      <w:r>
        <w:rPr>
          <w:sz w:val="28"/>
          <w:szCs w:val="28"/>
        </w:rPr>
        <w:t>БАЛАНС ВОДОСНАБЖЕНИЯ И ПОТРЕБЛЕНИЯ ГОРЯЧЕЙ, ПИТЬЕВОЙ, ТЕХНИЧЕСКОЙ ВОДЫ</w:t>
      </w:r>
    </w:p>
    <w:p>
      <w:pPr>
        <w:pStyle w:val="2"/>
        <w:numPr>
          <w:ilvl w:val="2"/>
          <w:numId w:val="2"/>
        </w:numPr>
        <w:spacing w:lineRule="auto" w:line="360" w:before="120" w:after="240"/>
        <w:ind w:left="0" w:firstLine="567"/>
        <w:rPr>
          <w:sz w:val="28"/>
          <w:szCs w:val="28"/>
        </w:rPr>
      </w:pPr>
      <w:bookmarkStart w:id="42" w:name="_Toc381715495"/>
      <w:bookmarkStart w:id="43" w:name="_Toc380482135"/>
      <w:bookmarkStart w:id="44" w:name="_Toc360699993"/>
      <w:bookmarkStart w:id="45" w:name="_Toc360699607"/>
      <w:bookmarkStart w:id="46" w:name="_Toc360699221"/>
      <w:bookmarkEnd w:id="42"/>
      <w:bookmarkEnd w:id="43"/>
      <w:bookmarkEnd w:id="44"/>
      <w:bookmarkEnd w:id="45"/>
      <w:bookmarkEnd w:id="46"/>
      <w:r>
        <w:rPr>
          <w:sz w:val="28"/>
          <w:szCs w:val="28"/>
        </w:rPr>
        <w:t xml:space="preserve">Общий баланс подачи и реализации воды, включая оценку </w:t>
        <w:br/>
        <w:t>и анализ структурных составляющих неучтенных расходов и потерь воды при ее производстве и транспортировке</w:t>
      </w:r>
    </w:p>
    <w:p>
      <w:pPr>
        <w:pStyle w:val="Style32"/>
        <w:spacing w:lineRule="auto" w:line="360" w:before="0" w:after="120"/>
        <w:ind w:right="-143" w:hanging="0"/>
        <w:rPr>
          <w:sz w:val="28"/>
          <w:szCs w:val="28"/>
        </w:rPr>
      </w:pPr>
      <w:r>
        <w:rPr>
          <w:sz w:val="28"/>
          <w:szCs w:val="28"/>
        </w:rPr>
        <w:t>Общий баланс водопотребления муниципального образования Алексеевского городского поселения приведён в таблице 1.4.</w:t>
      </w:r>
    </w:p>
    <w:p>
      <w:pPr>
        <w:pStyle w:val="Style32"/>
        <w:spacing w:lineRule="auto" w:line="360"/>
        <w:rPr>
          <w:sz w:val="28"/>
          <w:szCs w:val="28"/>
        </w:rPr>
      </w:pPr>
      <w:r>
        <w:rPr>
          <w:sz w:val="28"/>
          <w:szCs w:val="28"/>
        </w:rPr>
        <w:t xml:space="preserve">Учитывая степень благоустройства районов жилой застройки в населенных пунктах Алексеевского муниципального образования удельное хозяйственно-питьевое водопотребление на одного жителя среднесуточное (за год) принято в размере 200 л/сут. Количество воды на неучтенные расходы принято дополнительно в размере 10 % от суммарного расхода воды на хозяйственно-питьевые нужды населенного пункта. Расчетный расход воды в сутки наибольшего водопотребления определен при коэффициенте суточной неравномерности 1,2. </w:t>
      </w:r>
    </w:p>
    <w:p>
      <w:pPr>
        <w:pStyle w:val="Style32"/>
        <w:spacing w:lineRule="auto" w:line="360"/>
        <w:rPr>
          <w:sz w:val="28"/>
          <w:szCs w:val="28"/>
        </w:rPr>
      </w:pPr>
      <w:r>
        <w:rPr>
          <w:sz w:val="28"/>
          <w:szCs w:val="28"/>
        </w:rPr>
        <w:t xml:space="preserve">Удельное среднесуточное потребление воды на поливку в расчете на одного жителя принято в объёме 50 л/сут с учетом климатических условий, мощности источника водоснабжения и степени благоустройства населенного пункта. Количество поливок принято - одна в сутки. </w:t>
      </w:r>
    </w:p>
    <w:p>
      <w:pPr>
        <w:pStyle w:val="Style32"/>
        <w:spacing w:lineRule="auto" w:line="360" w:before="0" w:after="120"/>
        <w:rPr>
          <w:sz w:val="28"/>
        </w:rPr>
      </w:pPr>
      <w:r>
        <w:rPr>
          <w:sz w:val="28"/>
        </w:rPr>
        <w:t>Удельное водопотребление включает расходы воды на хозяйственно-питьевые нужды в жилых и общественных зданиях.</w:t>
      </w:r>
    </w:p>
    <w:p>
      <w:pPr>
        <w:pStyle w:val="Normal"/>
        <w:spacing w:lineRule="auto" w:line="360" w:before="0" w:after="0"/>
        <w:rPr>
          <w:sz w:val="28"/>
          <w:szCs w:val="28"/>
        </w:rPr>
      </w:pPr>
      <w:r>
        <w:rPr>
          <w:sz w:val="28"/>
          <w:szCs w:val="28"/>
        </w:rPr>
        <w:t>Общий водный баланс подачи и реализации воды представлен в Таблице 1.4.</w:t>
      </w:r>
    </w:p>
    <w:p>
      <w:pPr>
        <w:pStyle w:val="Normal"/>
        <w:spacing w:lineRule="auto" w:line="360" w:before="0" w:after="0"/>
        <w:jc w:val="right"/>
        <w:rPr>
          <w:sz w:val="28"/>
          <w:szCs w:val="28"/>
        </w:rPr>
      </w:pPr>
      <w:r>
        <w:rPr>
          <w:sz w:val="28"/>
          <w:szCs w:val="28"/>
        </w:rPr>
        <w:t>Табл. 1.4 - Общий водный баланс подачи и реализации воды</w:t>
      </w:r>
    </w:p>
    <w:tbl>
      <w:tblPr>
        <w:tblW w:w="9938" w:type="dxa"/>
        <w:jc w:val="left"/>
        <w:tblInd w:w="93"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top w:w="0" w:type="dxa"/>
          <w:left w:w="98" w:type="dxa"/>
          <w:bottom w:w="0" w:type="dxa"/>
          <w:right w:w="108" w:type="dxa"/>
        </w:tblCellMar>
        <w:tblLook w:val="04a0"/>
      </w:tblPr>
      <w:tblGrid>
        <w:gridCol w:w="1433"/>
        <w:gridCol w:w="1559"/>
        <w:gridCol w:w="992"/>
        <w:gridCol w:w="769"/>
        <w:gridCol w:w="932"/>
        <w:gridCol w:w="993"/>
        <w:gridCol w:w="945"/>
        <w:gridCol w:w="47"/>
        <w:gridCol w:w="1134"/>
        <w:gridCol w:w="1133"/>
      </w:tblGrid>
      <w:tr>
        <w:trPr>
          <w:trHeight w:val="315" w:hRule="atLeast"/>
        </w:trPr>
        <w:tc>
          <w:tcPr>
            <w:tcW w:w="1433"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lineRule="auto" w:line="240" w:before="0" w:after="0"/>
              <w:ind w:left="-93" w:right="-108" w:hanging="0"/>
              <w:jc w:val="center"/>
              <w:rPr>
                <w:b/>
                <w:b/>
                <w:bCs/>
                <w:color w:val="000000" w:themeColor="text1"/>
                <w:szCs w:val="24"/>
                <w:lang w:eastAsia="ru-RU"/>
              </w:rPr>
            </w:pPr>
            <w:r>
              <w:rPr>
                <w:b/>
                <w:bCs/>
                <w:color w:val="000000" w:themeColor="text1"/>
                <w:szCs w:val="24"/>
                <w:lang w:eastAsia="ru-RU"/>
              </w:rPr>
              <w:t>Потребитель</w:t>
            </w:r>
          </w:p>
        </w:tc>
        <w:tc>
          <w:tcPr>
            <w:tcW w:w="1559"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Наименование  расхода</w:t>
            </w:r>
          </w:p>
        </w:tc>
        <w:tc>
          <w:tcPr>
            <w:tcW w:w="992"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Ед-ца изме- ре- ния</w:t>
            </w:r>
          </w:p>
        </w:tc>
        <w:tc>
          <w:tcPr>
            <w:tcW w:w="769"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Кол-во</w:t>
            </w:r>
          </w:p>
        </w:tc>
        <w:tc>
          <w:tcPr>
            <w:tcW w:w="932"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Средне суточн. норма  на ед. изм.</w:t>
            </w:r>
          </w:p>
        </w:tc>
        <w:tc>
          <w:tcPr>
            <w:tcW w:w="4252" w:type="dxa"/>
            <w:gridSpan w:val="5"/>
            <w:tcBorders>
              <w:top w:val="single" w:sz="8" w:space="0" w:color="00000A"/>
              <w:bottom w:val="single" w:sz="4" w:space="0" w:color="00000A"/>
              <w:right w:val="single" w:sz="8" w:space="0" w:color="000001"/>
              <w:insideH w:val="single" w:sz="4" w:space="0" w:color="00000A"/>
              <w:insideV w:val="single" w:sz="8" w:space="0" w:color="000001"/>
            </w:tcBorders>
            <w:shd w:color="auto" w:fill="auto" w:val="cle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Водопотребление</w:t>
            </w:r>
          </w:p>
        </w:tc>
      </w:tr>
      <w:tr>
        <w:trPr>
          <w:trHeight w:val="405" w:hRule="atLeast"/>
        </w:trPr>
        <w:tc>
          <w:tcPr>
            <w:tcW w:w="1433"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ind w:hanging="0"/>
              <w:jc w:val="left"/>
              <w:rPr>
                <w:b/>
                <w:b/>
                <w:bCs/>
                <w:color w:val="000000" w:themeColor="text1"/>
                <w:szCs w:val="24"/>
                <w:lang w:eastAsia="ru-RU"/>
              </w:rPr>
            </w:pPr>
            <w:r>
              <w:rPr>
                <w:b/>
                <w:bCs/>
                <w:color w:val="000000" w:themeColor="text1"/>
                <w:szCs w:val="24"/>
                <w:lang w:eastAsia="ru-RU"/>
              </w:rPr>
            </w:r>
          </w:p>
        </w:tc>
        <w:tc>
          <w:tcPr>
            <w:tcW w:w="1559"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ind w:hanging="0"/>
              <w:jc w:val="left"/>
              <w:rPr>
                <w:b/>
                <w:b/>
                <w:bCs/>
                <w:color w:val="000000" w:themeColor="text1"/>
                <w:szCs w:val="24"/>
                <w:lang w:eastAsia="ru-RU"/>
              </w:rPr>
            </w:pPr>
            <w:r>
              <w:rPr>
                <w:b/>
                <w:bCs/>
                <w:color w:val="000000" w:themeColor="text1"/>
                <w:szCs w:val="24"/>
                <w:lang w:eastAsia="ru-RU"/>
              </w:rPr>
            </w:r>
          </w:p>
        </w:tc>
        <w:tc>
          <w:tcPr>
            <w:tcW w:w="992"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ind w:hanging="0"/>
              <w:jc w:val="left"/>
              <w:rPr>
                <w:b/>
                <w:b/>
                <w:bCs/>
                <w:color w:val="000000" w:themeColor="text1"/>
                <w:szCs w:val="24"/>
                <w:lang w:eastAsia="ru-RU"/>
              </w:rPr>
            </w:pPr>
            <w:r>
              <w:rPr>
                <w:b/>
                <w:bCs/>
                <w:color w:val="000000" w:themeColor="text1"/>
                <w:szCs w:val="24"/>
                <w:lang w:eastAsia="ru-RU"/>
              </w:rPr>
            </w:r>
          </w:p>
        </w:tc>
        <w:tc>
          <w:tcPr>
            <w:tcW w:w="769"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ind w:hanging="0"/>
              <w:jc w:val="left"/>
              <w:rPr>
                <w:b/>
                <w:b/>
                <w:bCs/>
                <w:color w:val="000000" w:themeColor="text1"/>
                <w:szCs w:val="24"/>
                <w:lang w:eastAsia="ru-RU"/>
              </w:rPr>
            </w:pPr>
            <w:r>
              <w:rPr>
                <w:b/>
                <w:bCs/>
                <w:color w:val="000000" w:themeColor="text1"/>
                <w:szCs w:val="24"/>
                <w:lang w:eastAsia="ru-RU"/>
              </w:rPr>
            </w:r>
          </w:p>
        </w:tc>
        <w:tc>
          <w:tcPr>
            <w:tcW w:w="932" w:type="dxa"/>
            <w:vMerge w:val="continue"/>
            <w:tcBorders>
              <w:top w:val="single" w:sz="8" w:space="0" w:color="00000A"/>
              <w:left w:val="single" w:sz="8" w:space="0" w:color="00000A"/>
              <w:bottom w:val="single" w:sz="8" w:space="0" w:color="000001"/>
              <w:right w:val="single" w:sz="4" w:space="0" w:color="00000A"/>
              <w:insideH w:val="single" w:sz="8" w:space="0" w:color="000001"/>
              <w:insideV w:val="single" w:sz="4" w:space="0" w:color="00000A"/>
            </w:tcBorders>
            <w:shd w:fill="auto" w:val="clear"/>
            <w:tcMar>
              <w:left w:w="98" w:type="dxa"/>
            </w:tcMar>
            <w:vAlign w:val="center"/>
          </w:tcPr>
          <w:p>
            <w:pPr>
              <w:pStyle w:val="Normal"/>
              <w:spacing w:lineRule="auto" w:line="240" w:before="0" w:after="0"/>
              <w:ind w:hanging="0"/>
              <w:jc w:val="left"/>
              <w:rPr>
                <w:b/>
                <w:b/>
                <w:bCs/>
                <w:color w:val="000000" w:themeColor="text1"/>
                <w:szCs w:val="24"/>
                <w:lang w:eastAsia="ru-RU"/>
              </w:rPr>
            </w:pPr>
            <w:r>
              <w:rPr>
                <w:b/>
                <w:bCs/>
                <w:color w:val="000000" w:themeColor="text1"/>
                <w:szCs w:val="24"/>
                <w:lang w:eastAsia="ru-RU"/>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Сред.</w:t>
            </w:r>
          </w:p>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сут. м³/сут</w:t>
            </w:r>
          </w:p>
        </w:tc>
        <w:tc>
          <w:tcPr>
            <w:tcW w:w="9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Годовое</w:t>
            </w:r>
          </w:p>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т.м³/год</w:t>
            </w:r>
          </w:p>
          <w:p>
            <w:pPr>
              <w:pStyle w:val="Normal"/>
              <w:spacing w:lineRule="auto" w:line="240" w:before="0" w:after="0"/>
              <w:jc w:val="left"/>
              <w:rPr>
                <w:b/>
                <w:b/>
                <w:bCs/>
                <w:color w:val="000000" w:themeColor="text1"/>
                <w:szCs w:val="24"/>
                <w:lang w:eastAsia="ru-RU"/>
              </w:rPr>
            </w:pPr>
            <w:r>
              <w:rPr>
                <w:color w:val="000000" w:themeColor="text1"/>
                <w:szCs w:val="24"/>
                <w:lang w:eastAsia="ru-RU"/>
              </w:rPr>
              <w:t> </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Макс.</w:t>
            </w:r>
          </w:p>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сут.</w:t>
            </w:r>
          </w:p>
          <w:p>
            <w:pPr>
              <w:pStyle w:val="Normal"/>
              <w:spacing w:lineRule="auto" w:line="240" w:before="0" w:after="0"/>
              <w:ind w:hanging="0"/>
              <w:rPr>
                <w:b/>
                <w:b/>
                <w:bCs/>
                <w:color w:val="000000" w:themeColor="text1"/>
                <w:szCs w:val="24"/>
                <w:lang w:eastAsia="ru-RU"/>
              </w:rPr>
            </w:pPr>
            <w:r>
              <w:rPr>
                <w:b/>
                <w:bCs/>
                <w:color w:val="000000" w:themeColor="text1"/>
                <w:szCs w:val="24"/>
                <w:lang w:eastAsia="ru-RU"/>
              </w:rPr>
              <w:t>м³/сут</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Макс.</w:t>
            </w:r>
          </w:p>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час.</w:t>
            </w:r>
          </w:p>
          <w:p>
            <w:pPr>
              <w:pStyle w:val="Normal"/>
              <w:spacing w:lineRule="auto" w:line="240" w:before="0" w:after="0"/>
              <w:ind w:hanging="0"/>
              <w:rPr>
                <w:b/>
                <w:b/>
                <w:bCs/>
                <w:color w:val="000000" w:themeColor="text1"/>
                <w:szCs w:val="24"/>
                <w:lang w:eastAsia="ru-RU"/>
              </w:rPr>
            </w:pPr>
            <w:r>
              <w:rPr>
                <w:b/>
                <w:bCs/>
                <w:color w:val="000000" w:themeColor="text1"/>
                <w:szCs w:val="24"/>
                <w:lang w:eastAsia="ru-RU"/>
              </w:rPr>
              <w:t>м³/час</w:t>
            </w:r>
          </w:p>
        </w:tc>
      </w:tr>
      <w:tr>
        <w:trPr>
          <w:trHeight w:val="315" w:hRule="atLeast"/>
        </w:trPr>
        <w:tc>
          <w:tcPr>
            <w:tcW w:w="1433" w:type="dxa"/>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98"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1</w:t>
            </w:r>
          </w:p>
        </w:tc>
        <w:tc>
          <w:tcPr>
            <w:tcW w:w="1559"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2</w:t>
            </w:r>
          </w:p>
        </w:tc>
        <w:tc>
          <w:tcPr>
            <w:tcW w:w="992"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3</w:t>
            </w:r>
          </w:p>
        </w:tc>
        <w:tc>
          <w:tcPr>
            <w:tcW w:w="769"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4</w:t>
            </w:r>
          </w:p>
        </w:tc>
        <w:tc>
          <w:tcPr>
            <w:tcW w:w="93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6</w:t>
            </w:r>
          </w:p>
        </w:tc>
        <w:tc>
          <w:tcPr>
            <w:tcW w:w="9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7</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8</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9</w:t>
            </w:r>
          </w:p>
        </w:tc>
      </w:tr>
      <w:tr>
        <w:trPr>
          <w:trHeight w:val="315" w:hRule="atLeast"/>
        </w:trPr>
        <w:tc>
          <w:tcPr>
            <w:tcW w:w="9937" w:type="dxa"/>
            <w:gridSpan w:val="10"/>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Алексеевское муниципальное образование</w:t>
            </w:r>
          </w:p>
        </w:tc>
      </w:tr>
      <w:tr>
        <w:trPr>
          <w:trHeight w:val="315" w:hRule="atLeast"/>
        </w:trPr>
        <w:tc>
          <w:tcPr>
            <w:tcW w:w="1433"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1</w:t>
            </w:r>
          </w:p>
        </w:tc>
        <w:tc>
          <w:tcPr>
            <w:tcW w:w="1559" w:type="dxa"/>
            <w:tcBorders>
              <w:top w:val="single" w:sz="4"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2</w:t>
            </w:r>
          </w:p>
        </w:tc>
        <w:tc>
          <w:tcPr>
            <w:tcW w:w="992" w:type="dxa"/>
            <w:tcBorders>
              <w:top w:val="single" w:sz="4"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3</w:t>
            </w:r>
          </w:p>
        </w:tc>
        <w:tc>
          <w:tcPr>
            <w:tcW w:w="769" w:type="dxa"/>
            <w:tcBorders>
              <w:top w:val="single" w:sz="4"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4</w:t>
            </w:r>
          </w:p>
        </w:tc>
        <w:tc>
          <w:tcPr>
            <w:tcW w:w="932" w:type="dxa"/>
            <w:tcBorders>
              <w:top w:val="single" w:sz="4" w:space="0" w:color="00000A"/>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6</w:t>
            </w:r>
          </w:p>
        </w:tc>
        <w:tc>
          <w:tcPr>
            <w:tcW w:w="9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7</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8</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9</w:t>
            </w:r>
          </w:p>
        </w:tc>
      </w:tr>
      <w:tr>
        <w:trPr>
          <w:trHeight w:val="439" w:hRule="atLeast"/>
        </w:trPr>
        <w:tc>
          <w:tcPr>
            <w:tcW w:w="1433" w:type="dxa"/>
            <w:vMerge w:val="restart"/>
            <w:tcBorders>
              <w:left w:val="single" w:sz="8" w:space="0" w:color="00000A"/>
              <w:right w:val="single" w:sz="8" w:space="0" w:color="00000A"/>
              <w:insideV w:val="single" w:sz="8" w:space="0" w:color="00000A"/>
            </w:tcBorders>
            <w:shd w:color="auto" w:fill="auto" w:val="clear"/>
            <w:tcMar>
              <w:left w:w="98" w:type="dxa"/>
            </w:tcMar>
            <w:vAlign w:val="center"/>
          </w:tcPr>
          <w:p>
            <w:pPr>
              <w:pStyle w:val="Normal"/>
              <w:spacing w:lineRule="auto" w:line="240" w:before="0" w:after="0"/>
              <w:ind w:left="-93" w:right="-108" w:hanging="0"/>
              <w:jc w:val="center"/>
              <w:rPr>
                <w:b/>
                <w:b/>
                <w:bCs/>
                <w:color w:val="000000" w:themeColor="text1"/>
                <w:szCs w:val="24"/>
                <w:lang w:eastAsia="ru-RU"/>
              </w:rPr>
            </w:pPr>
            <w:r>
              <w:rPr>
                <w:b/>
                <w:bCs/>
                <w:color w:val="000000" w:themeColor="text1"/>
                <w:szCs w:val="24"/>
                <w:lang w:eastAsia="ru-RU"/>
              </w:rPr>
              <w:t>п. Алексеевск</w:t>
            </w:r>
          </w:p>
        </w:tc>
        <w:tc>
          <w:tcPr>
            <w:tcW w:w="15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Хоз-питьевые нужды</w:t>
            </w:r>
          </w:p>
        </w:tc>
        <w:tc>
          <w:tcPr>
            <w:tcW w:w="99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чел</w:t>
            </w:r>
          </w:p>
        </w:tc>
        <w:tc>
          <w:tcPr>
            <w:tcW w:w="76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2193</w:t>
            </w:r>
          </w:p>
        </w:tc>
        <w:tc>
          <w:tcPr>
            <w:tcW w:w="93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200</w:t>
            </w:r>
          </w:p>
        </w:tc>
        <w:tc>
          <w:tcPr>
            <w:tcW w:w="99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left="-108" w:right="-108" w:hanging="0"/>
              <w:jc w:val="center"/>
              <w:rPr>
                <w:color w:val="000000" w:themeColor="text1"/>
                <w:szCs w:val="24"/>
                <w:lang w:eastAsia="ru-RU"/>
              </w:rPr>
            </w:pPr>
            <w:r>
              <w:rPr>
                <w:color w:val="000000" w:themeColor="text1"/>
                <w:szCs w:val="24"/>
                <w:lang w:eastAsia="ru-RU"/>
              </w:rPr>
              <w:t>438,6</w:t>
            </w:r>
          </w:p>
        </w:tc>
        <w:tc>
          <w:tcPr>
            <w:tcW w:w="94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160,08</w:t>
            </w:r>
          </w:p>
        </w:tc>
        <w:tc>
          <w:tcPr>
            <w:tcW w:w="1181" w:type="dxa"/>
            <w:gridSpan w:val="2"/>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526,32</w:t>
            </w:r>
          </w:p>
        </w:tc>
        <w:tc>
          <w:tcPr>
            <w:tcW w:w="113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21,93</w:t>
            </w:r>
          </w:p>
        </w:tc>
      </w:tr>
      <w:tr>
        <w:trPr>
          <w:trHeight w:val="433" w:hRule="atLeast"/>
        </w:trPr>
        <w:tc>
          <w:tcPr>
            <w:tcW w:w="1433" w:type="dxa"/>
            <w:vMerge w:val="continue"/>
            <w:tcBorders>
              <w:left w:val="single" w:sz="8" w:space="0" w:color="00000A"/>
              <w:right w:val="single" w:sz="8" w:space="0" w:color="00000A"/>
              <w:insideV w:val="single" w:sz="8" w:space="0" w:color="00000A"/>
            </w:tcBorders>
            <w:shd w:color="auto" w:fill="auto" w:val="clear"/>
            <w:tcMar>
              <w:left w:w="98" w:type="dxa"/>
            </w:tcM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r>
          </w:p>
        </w:tc>
        <w:tc>
          <w:tcPr>
            <w:tcW w:w="15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Неучтённые расходы</w:t>
            </w:r>
          </w:p>
        </w:tc>
        <w:tc>
          <w:tcPr>
            <w:tcW w:w="99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w:t>
            </w:r>
          </w:p>
        </w:tc>
        <w:tc>
          <w:tcPr>
            <w:tcW w:w="76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10</w:t>
            </w:r>
          </w:p>
        </w:tc>
        <w:tc>
          <w:tcPr>
            <w:tcW w:w="93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w:t>
            </w:r>
          </w:p>
        </w:tc>
        <w:tc>
          <w:tcPr>
            <w:tcW w:w="99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43,8</w:t>
            </w:r>
          </w:p>
        </w:tc>
        <w:tc>
          <w:tcPr>
            <w:tcW w:w="94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16</w:t>
            </w:r>
          </w:p>
        </w:tc>
        <w:tc>
          <w:tcPr>
            <w:tcW w:w="1181" w:type="dxa"/>
            <w:gridSpan w:val="2"/>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52,63</w:t>
            </w:r>
          </w:p>
        </w:tc>
        <w:tc>
          <w:tcPr>
            <w:tcW w:w="113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2,19</w:t>
            </w:r>
          </w:p>
        </w:tc>
      </w:tr>
      <w:tr>
        <w:trPr>
          <w:trHeight w:val="144" w:hRule="atLeast"/>
        </w:trPr>
        <w:tc>
          <w:tcPr>
            <w:tcW w:w="1433" w:type="dxa"/>
            <w:vMerge w:val="continue"/>
            <w:tcBorders>
              <w:left w:val="single" w:sz="8" w:space="0" w:color="00000A"/>
              <w:right w:val="single" w:sz="8" w:space="0" w:color="00000A"/>
              <w:insideV w:val="single" w:sz="8" w:space="0" w:color="00000A"/>
            </w:tcBorders>
            <w:shd w:color="auto" w:fill="auto" w:val="clear"/>
            <w:tcMar>
              <w:left w:w="98" w:type="dxa"/>
            </w:tcMar>
            <w:vAlign w:val="center"/>
          </w:tcPr>
          <w:p>
            <w:pPr>
              <w:pStyle w:val="Normal"/>
              <w:spacing w:lineRule="auto" w:line="240" w:before="0" w:after="0"/>
              <w:ind w:hanging="0"/>
              <w:jc w:val="left"/>
              <w:rPr>
                <w:rFonts w:ascii="Calibri" w:hAnsi="Calibri"/>
                <w:color w:val="000000" w:themeColor="text1"/>
                <w:szCs w:val="24"/>
                <w:lang w:eastAsia="ru-RU"/>
              </w:rPr>
            </w:pPr>
            <w:r>
              <w:rPr>
                <w:color w:val="000000" w:themeColor="text1"/>
                <w:szCs w:val="24"/>
                <w:lang w:eastAsia="ru-RU"/>
              </w:rPr>
            </w:r>
          </w:p>
        </w:tc>
        <w:tc>
          <w:tcPr>
            <w:tcW w:w="15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Полив</w:t>
            </w:r>
          </w:p>
        </w:tc>
        <w:tc>
          <w:tcPr>
            <w:tcW w:w="99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чел</w:t>
            </w:r>
          </w:p>
        </w:tc>
        <w:tc>
          <w:tcPr>
            <w:tcW w:w="76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2193</w:t>
            </w:r>
          </w:p>
        </w:tc>
        <w:tc>
          <w:tcPr>
            <w:tcW w:w="93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50</w:t>
            </w:r>
          </w:p>
        </w:tc>
        <w:tc>
          <w:tcPr>
            <w:tcW w:w="99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left="-108" w:right="-108" w:hanging="0"/>
              <w:jc w:val="center"/>
              <w:rPr>
                <w:color w:val="000000" w:themeColor="text1"/>
                <w:szCs w:val="24"/>
                <w:lang w:eastAsia="ru-RU"/>
              </w:rPr>
            </w:pPr>
            <w:r>
              <w:rPr>
                <w:color w:val="000000" w:themeColor="text1"/>
                <w:szCs w:val="24"/>
                <w:lang w:eastAsia="ru-RU"/>
              </w:rPr>
              <w:t>109,65</w:t>
            </w:r>
          </w:p>
        </w:tc>
        <w:tc>
          <w:tcPr>
            <w:tcW w:w="94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40,02</w:t>
            </w:r>
          </w:p>
        </w:tc>
        <w:tc>
          <w:tcPr>
            <w:tcW w:w="1181" w:type="dxa"/>
            <w:gridSpan w:val="2"/>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131,58</w:t>
            </w:r>
          </w:p>
        </w:tc>
        <w:tc>
          <w:tcPr>
            <w:tcW w:w="113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color w:val="000000" w:themeColor="text1"/>
                <w:szCs w:val="24"/>
                <w:lang w:eastAsia="ru-RU"/>
              </w:rPr>
            </w:pPr>
            <w:r>
              <w:rPr>
                <w:color w:val="000000" w:themeColor="text1"/>
                <w:szCs w:val="24"/>
                <w:lang w:eastAsia="ru-RU"/>
              </w:rPr>
              <w:t>5,48</w:t>
            </w:r>
          </w:p>
        </w:tc>
      </w:tr>
      <w:tr>
        <w:trPr>
          <w:trHeight w:val="77" w:hRule="atLeast"/>
        </w:trPr>
        <w:tc>
          <w:tcPr>
            <w:tcW w:w="1433" w:type="dxa"/>
            <w:vMerge w:val="continue"/>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vAlign w:val="center"/>
          </w:tcPr>
          <w:p>
            <w:pPr>
              <w:pStyle w:val="Normal"/>
              <w:spacing w:lineRule="auto" w:line="240" w:before="0" w:after="0"/>
              <w:ind w:hanging="0"/>
              <w:jc w:val="left"/>
              <w:rPr>
                <w:rFonts w:ascii="Calibri" w:hAnsi="Calibri"/>
                <w:color w:val="000000" w:themeColor="text1"/>
                <w:szCs w:val="24"/>
                <w:lang w:eastAsia="ru-RU"/>
              </w:rPr>
            </w:pPr>
            <w:r>
              <w:rPr>
                <w:color w:val="000000" w:themeColor="text1"/>
                <w:szCs w:val="24"/>
                <w:lang w:eastAsia="ru-RU"/>
              </w:rPr>
            </w:r>
          </w:p>
        </w:tc>
        <w:tc>
          <w:tcPr>
            <w:tcW w:w="15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Итого:</w:t>
            </w:r>
          </w:p>
        </w:tc>
        <w:tc>
          <w:tcPr>
            <w:tcW w:w="99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left"/>
              <w:rPr>
                <w:rFonts w:ascii="Calibri" w:hAnsi="Calibri"/>
                <w:color w:val="000000" w:themeColor="text1"/>
                <w:szCs w:val="24"/>
                <w:lang w:eastAsia="ru-RU"/>
              </w:rPr>
            </w:pPr>
            <w:r>
              <w:rPr>
                <w:color w:val="000000" w:themeColor="text1"/>
                <w:szCs w:val="24"/>
                <w:lang w:eastAsia="ru-RU"/>
              </w:rPr>
              <w:t> </w:t>
            </w:r>
          </w:p>
        </w:tc>
        <w:tc>
          <w:tcPr>
            <w:tcW w:w="76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left"/>
              <w:rPr>
                <w:rFonts w:ascii="Calibri" w:hAnsi="Calibri"/>
                <w:color w:val="000000" w:themeColor="text1"/>
                <w:szCs w:val="24"/>
                <w:lang w:eastAsia="ru-RU"/>
              </w:rPr>
            </w:pPr>
            <w:r>
              <w:rPr>
                <w:color w:val="000000" w:themeColor="text1"/>
                <w:szCs w:val="24"/>
                <w:lang w:eastAsia="ru-RU"/>
              </w:rPr>
              <w:t> </w:t>
            </w:r>
          </w:p>
        </w:tc>
        <w:tc>
          <w:tcPr>
            <w:tcW w:w="93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left"/>
              <w:rPr>
                <w:rFonts w:ascii="Calibri" w:hAnsi="Calibri"/>
                <w:color w:val="000000" w:themeColor="text1"/>
                <w:szCs w:val="24"/>
                <w:lang w:eastAsia="ru-RU"/>
              </w:rPr>
            </w:pPr>
            <w:r>
              <w:rPr>
                <w:color w:val="000000" w:themeColor="text1"/>
                <w:szCs w:val="24"/>
                <w:lang w:eastAsia="ru-RU"/>
              </w:rPr>
              <w:t> </w:t>
            </w:r>
          </w:p>
        </w:tc>
        <w:tc>
          <w:tcPr>
            <w:tcW w:w="99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b/>
                <w:b/>
                <w:bCs/>
                <w:color w:val="000000" w:themeColor="text1"/>
                <w:sz w:val="22"/>
                <w:lang w:eastAsia="ru-RU"/>
              </w:rPr>
            </w:pPr>
            <w:r>
              <w:rPr>
                <w:b/>
                <w:bCs/>
                <w:color w:val="000000" w:themeColor="text1"/>
                <w:sz w:val="22"/>
                <w:lang w:eastAsia="ru-RU"/>
              </w:rPr>
              <w:t>592,05</w:t>
            </w:r>
          </w:p>
        </w:tc>
        <w:tc>
          <w:tcPr>
            <w:tcW w:w="94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216,1</w:t>
            </w:r>
          </w:p>
        </w:tc>
        <w:tc>
          <w:tcPr>
            <w:tcW w:w="1181" w:type="dxa"/>
            <w:gridSpan w:val="2"/>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710,53</w:t>
            </w:r>
          </w:p>
        </w:tc>
        <w:tc>
          <w:tcPr>
            <w:tcW w:w="113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center"/>
              <w:rPr>
                <w:b/>
                <w:b/>
                <w:bCs/>
                <w:color w:val="000000" w:themeColor="text1"/>
                <w:szCs w:val="24"/>
                <w:lang w:eastAsia="ru-RU"/>
              </w:rPr>
            </w:pPr>
            <w:r>
              <w:rPr>
                <w:b/>
                <w:bCs/>
                <w:color w:val="000000" w:themeColor="text1"/>
                <w:szCs w:val="24"/>
                <w:lang w:eastAsia="ru-RU"/>
              </w:rPr>
              <w:t>29,6</w:t>
            </w:r>
          </w:p>
        </w:tc>
      </w:tr>
    </w:tbl>
    <w:p>
      <w:pPr>
        <w:pStyle w:val="2"/>
        <w:numPr>
          <w:ilvl w:val="2"/>
          <w:numId w:val="2"/>
        </w:numPr>
        <w:spacing w:lineRule="auto" w:line="360" w:before="240" w:after="240"/>
        <w:ind w:left="0" w:firstLine="567"/>
        <w:rPr>
          <w:sz w:val="28"/>
        </w:rPr>
      </w:pPr>
      <w:bookmarkStart w:id="47" w:name="_Toc381715496"/>
      <w:bookmarkStart w:id="48" w:name="_Toc380482136"/>
      <w:r>
        <w:rPr>
          <w:sz w:val="28"/>
        </w:rPr>
        <w:t>Территориальный водный баланс подачи воды по зонам действия водопроводных сооружений (годовой и в сутки максимального водопотребления)</w:t>
      </w:r>
      <w:bookmarkEnd w:id="47"/>
      <w:bookmarkEnd w:id="48"/>
      <w:r>
        <w:rPr>
          <w:sz w:val="28"/>
        </w:rPr>
        <w:t>.</w:t>
      </w:r>
    </w:p>
    <w:p>
      <w:pPr>
        <w:pStyle w:val="Normal"/>
        <w:spacing w:lineRule="auto" w:line="360" w:before="0" w:after="0"/>
        <w:rPr>
          <w:sz w:val="28"/>
        </w:rPr>
      </w:pPr>
      <w:r>
        <w:rPr>
          <w:sz w:val="28"/>
        </w:rPr>
        <w:t>Расчётное потребление воды в 2018 году составило 180,17 тыс. м</w:t>
      </w:r>
      <w:r>
        <w:rPr>
          <w:sz w:val="28"/>
          <w:vertAlign w:val="superscript"/>
        </w:rPr>
        <w:t>3</w:t>
      </w:r>
      <w:r>
        <w:rPr>
          <w:sz w:val="28"/>
        </w:rPr>
        <w:t>/год, в средние сутки 592,05 м</w:t>
      </w:r>
      <w:r>
        <w:rPr>
          <w:sz w:val="28"/>
          <w:vertAlign w:val="superscript"/>
        </w:rPr>
        <w:t>3</w:t>
      </w:r>
      <w:r>
        <w:rPr>
          <w:sz w:val="28"/>
        </w:rPr>
        <w:t>/сут, в сутки максимального водоразбора 710,53 м</w:t>
      </w:r>
      <w:r>
        <w:rPr>
          <w:sz w:val="28"/>
          <w:vertAlign w:val="superscript"/>
        </w:rPr>
        <w:t>3</w:t>
      </w:r>
      <w:r>
        <w:rPr>
          <w:sz w:val="28"/>
        </w:rPr>
        <w:t>/сут.</w:t>
      </w:r>
    </w:p>
    <w:p>
      <w:pPr>
        <w:pStyle w:val="Normal"/>
        <w:spacing w:lineRule="auto" w:line="360" w:before="0" w:after="0"/>
        <w:rPr>
          <w:sz w:val="28"/>
        </w:rPr>
      </w:pPr>
      <w:r>
        <w:rPr>
          <w:sz w:val="28"/>
        </w:rPr>
        <w:t>Фактическое потребление в 2018 году составило 93,585 тыс. м</w:t>
      </w:r>
      <w:r>
        <w:rPr>
          <w:sz w:val="28"/>
          <w:vertAlign w:val="superscript"/>
        </w:rPr>
        <w:t>3</w:t>
      </w:r>
      <w:r>
        <w:rPr>
          <w:sz w:val="28"/>
        </w:rPr>
        <w:t>/год.</w:t>
      </w:r>
    </w:p>
    <w:p>
      <w:pPr>
        <w:pStyle w:val="Normal"/>
        <w:tabs>
          <w:tab w:val="left" w:pos="3015" w:leader="none"/>
        </w:tabs>
        <w:spacing w:before="0" w:after="0"/>
        <w:rPr/>
      </w:pPr>
      <w:r>
        <w:rPr>
          <w:sz w:val="28"/>
        </w:rPr>
        <w:t>Так же 500 м</w:t>
      </w:r>
      <w:r>
        <w:rPr>
          <w:sz w:val="28"/>
          <w:vertAlign w:val="superscript"/>
        </w:rPr>
        <w:t>3</w:t>
      </w:r>
      <w:r>
        <w:rPr>
          <w:sz w:val="28"/>
        </w:rPr>
        <w:t xml:space="preserve"> воды находятся в резервуаре чистой воды, установленном возле водозабора. </w:t>
      </w:r>
    </w:p>
    <w:p>
      <w:pPr>
        <w:pStyle w:val="2"/>
        <w:numPr>
          <w:ilvl w:val="2"/>
          <w:numId w:val="2"/>
        </w:numPr>
        <w:spacing w:lineRule="auto" w:line="360" w:before="0" w:after="200"/>
        <w:ind w:left="0" w:firstLine="567"/>
        <w:rPr>
          <w:sz w:val="28"/>
        </w:rPr>
      </w:pPr>
      <w:bookmarkStart w:id="49" w:name="_Toc381715497"/>
      <w:bookmarkStart w:id="50" w:name="_Toc380482137"/>
      <w:r>
        <w:rPr>
          <w:rStyle w:val="FontStyle157"/>
          <w:rFonts w:eastAsia="Calibri"/>
          <w:b/>
          <w:sz w:val="28"/>
          <w:szCs w:val="28"/>
          <w:lang w:eastAsia="en-US"/>
        </w:rPr>
        <w:t>Структурный водный баланс реализации воды по группам потребителей</w:t>
      </w:r>
      <w:bookmarkEnd w:id="49"/>
      <w:bookmarkEnd w:id="50"/>
      <w:r>
        <w:rPr>
          <w:rStyle w:val="FontStyle157"/>
          <w:rFonts w:eastAsia="Calibri"/>
          <w:b/>
          <w:sz w:val="28"/>
          <w:szCs w:val="28"/>
          <w:lang w:eastAsia="en-US"/>
        </w:rPr>
        <w:t>.</w:t>
      </w:r>
    </w:p>
    <w:p>
      <w:pPr>
        <w:pStyle w:val="Normal"/>
        <w:spacing w:lineRule="auto" w:line="360" w:before="0" w:after="0"/>
        <w:ind w:hanging="0"/>
        <w:rPr>
          <w:bCs/>
          <w:sz w:val="28"/>
          <w:szCs w:val="26"/>
        </w:rPr>
      </w:pPr>
      <w:r>
        <w:rPr>
          <w:bCs/>
          <w:sz w:val="28"/>
          <w:szCs w:val="26"/>
        </w:rPr>
        <w:tab/>
        <w:t>Структурный водный баланс реализации воды по группам населения, за 2018 год, указан в таблице 1.5 и схеме 1.</w:t>
      </w:r>
    </w:p>
    <w:p>
      <w:pPr>
        <w:pStyle w:val="Normal"/>
        <w:spacing w:lineRule="auto" w:line="360" w:before="0" w:after="0"/>
        <w:ind w:hanging="0"/>
        <w:jc w:val="right"/>
        <w:rPr>
          <w:bCs/>
          <w:sz w:val="28"/>
          <w:szCs w:val="26"/>
        </w:rPr>
      </w:pPr>
      <w:r>
        <w:rPr>
          <w:bCs/>
          <w:sz w:val="28"/>
          <w:szCs w:val="26"/>
        </w:rPr>
        <w:t>Табл. 1.5 - Структурный водный баланс воды по группам потребителей</w:t>
      </w:r>
    </w:p>
    <w:tbl>
      <w:tblPr>
        <w:tblStyle w:val="ae"/>
        <w:tblW w:w="7322" w:type="dxa"/>
        <w:jc w:val="center"/>
        <w:tblInd w:w="0" w:type="dxa"/>
        <w:tblCellMar>
          <w:top w:w="0" w:type="dxa"/>
          <w:left w:w="108" w:type="dxa"/>
          <w:bottom w:w="0" w:type="dxa"/>
          <w:right w:w="108" w:type="dxa"/>
        </w:tblCellMar>
        <w:tblLook w:val="04a0"/>
      </w:tblPr>
      <w:tblGrid>
        <w:gridCol w:w="801"/>
        <w:gridCol w:w="2977"/>
        <w:gridCol w:w="3544"/>
      </w:tblGrid>
      <w:tr>
        <w:trPr/>
        <w:tc>
          <w:tcPr>
            <w:tcW w:w="801" w:type="dxa"/>
            <w:tcBorders/>
            <w:shd w:fill="auto" w:val="clear"/>
            <w:tcMar>
              <w:left w:w="108" w:type="dxa"/>
            </w:tcMar>
            <w:vAlign w:val="center"/>
          </w:tcPr>
          <w:p>
            <w:pPr>
              <w:pStyle w:val="Normal"/>
              <w:spacing w:before="0" w:after="0"/>
              <w:ind w:hanging="0"/>
              <w:jc w:val="center"/>
              <w:rPr>
                <w:b/>
                <w:b/>
                <w:bCs/>
                <w:szCs w:val="24"/>
              </w:rPr>
            </w:pPr>
            <w:r>
              <w:rPr>
                <w:rFonts w:eastAsia="Times New Roman"/>
                <w:b/>
                <w:bCs/>
                <w:szCs w:val="24"/>
              </w:rPr>
              <w:t>№</w:t>
            </w:r>
            <w:r>
              <w:rPr>
                <w:rFonts w:eastAsia="Times New Roman"/>
                <w:b/>
                <w:bCs/>
                <w:szCs w:val="24"/>
              </w:rPr>
              <w:t>п/п</w:t>
            </w:r>
          </w:p>
        </w:tc>
        <w:tc>
          <w:tcPr>
            <w:tcW w:w="2977" w:type="dxa"/>
            <w:tcBorders/>
            <w:shd w:fill="auto" w:val="clear"/>
            <w:tcMar>
              <w:left w:w="108" w:type="dxa"/>
            </w:tcMar>
            <w:vAlign w:val="center"/>
          </w:tcPr>
          <w:p>
            <w:pPr>
              <w:pStyle w:val="Normal"/>
              <w:spacing w:before="0" w:after="0"/>
              <w:ind w:hanging="0"/>
              <w:jc w:val="center"/>
              <w:rPr>
                <w:b/>
                <w:b/>
                <w:bCs/>
                <w:szCs w:val="24"/>
              </w:rPr>
            </w:pPr>
            <w:r>
              <w:rPr>
                <w:rFonts w:eastAsia="Times New Roman"/>
                <w:b/>
                <w:bCs/>
                <w:szCs w:val="24"/>
              </w:rPr>
              <w:t>Группа потребителей</w:t>
            </w:r>
          </w:p>
        </w:tc>
        <w:tc>
          <w:tcPr>
            <w:tcW w:w="3544" w:type="dxa"/>
            <w:tcBorders/>
            <w:shd w:fill="auto" w:val="clear"/>
            <w:tcMar>
              <w:left w:w="108" w:type="dxa"/>
            </w:tcMar>
            <w:vAlign w:val="center"/>
          </w:tcPr>
          <w:p>
            <w:pPr>
              <w:pStyle w:val="Normal"/>
              <w:spacing w:before="0" w:after="0"/>
              <w:ind w:hanging="0"/>
              <w:jc w:val="center"/>
              <w:rPr>
                <w:b/>
                <w:b/>
                <w:bCs/>
                <w:szCs w:val="24"/>
              </w:rPr>
            </w:pPr>
            <w:r>
              <w:rPr>
                <w:rFonts w:eastAsia="Times New Roman"/>
                <w:b/>
                <w:bCs/>
                <w:szCs w:val="24"/>
              </w:rPr>
              <w:t>Потребление воды,</w:t>
            </w:r>
            <w:r>
              <w:rPr>
                <w:rFonts w:eastAsia="Times New Roman"/>
                <w:b/>
                <w:szCs w:val="24"/>
              </w:rPr>
              <w:t xml:space="preserve"> м</w:t>
            </w:r>
            <w:r>
              <w:rPr>
                <w:rFonts w:eastAsia="Times New Roman"/>
                <w:b/>
                <w:szCs w:val="24"/>
                <w:vertAlign w:val="superscript"/>
              </w:rPr>
              <w:t>3</w:t>
            </w:r>
            <w:r>
              <w:rPr>
                <w:rFonts w:eastAsia="Times New Roman"/>
                <w:b/>
                <w:bCs/>
                <w:szCs w:val="24"/>
              </w:rPr>
              <w:t xml:space="preserve"> </w:t>
            </w:r>
            <w:r>
              <w:rPr>
                <w:rFonts w:eastAsia="Times New Roman"/>
                <w:b/>
                <w:szCs w:val="24"/>
              </w:rPr>
              <w:t>/год</w:t>
            </w:r>
          </w:p>
        </w:tc>
      </w:tr>
      <w:tr>
        <w:trPr/>
        <w:tc>
          <w:tcPr>
            <w:tcW w:w="801"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1</w:t>
            </w:r>
          </w:p>
        </w:tc>
        <w:tc>
          <w:tcPr>
            <w:tcW w:w="2977"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Население</w:t>
            </w:r>
          </w:p>
        </w:tc>
        <w:tc>
          <w:tcPr>
            <w:tcW w:w="354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86332</w:t>
            </w:r>
          </w:p>
        </w:tc>
      </w:tr>
      <w:tr>
        <w:trPr/>
        <w:tc>
          <w:tcPr>
            <w:tcW w:w="801"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2</w:t>
            </w:r>
          </w:p>
        </w:tc>
        <w:tc>
          <w:tcPr>
            <w:tcW w:w="2977"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Организации</w:t>
            </w:r>
          </w:p>
        </w:tc>
        <w:tc>
          <w:tcPr>
            <w:tcW w:w="354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2517</w:t>
            </w:r>
          </w:p>
        </w:tc>
      </w:tr>
      <w:tr>
        <w:trPr/>
        <w:tc>
          <w:tcPr>
            <w:tcW w:w="801"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3</w:t>
            </w:r>
          </w:p>
        </w:tc>
        <w:tc>
          <w:tcPr>
            <w:tcW w:w="2977"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Бюджетные учреждения</w:t>
            </w:r>
          </w:p>
        </w:tc>
        <w:tc>
          <w:tcPr>
            <w:tcW w:w="354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3958</w:t>
            </w:r>
          </w:p>
        </w:tc>
      </w:tr>
      <w:tr>
        <w:trPr/>
        <w:tc>
          <w:tcPr>
            <w:tcW w:w="801"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4</w:t>
            </w:r>
          </w:p>
        </w:tc>
        <w:tc>
          <w:tcPr>
            <w:tcW w:w="2977"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Производственные нужды</w:t>
            </w:r>
          </w:p>
        </w:tc>
        <w:tc>
          <w:tcPr>
            <w:tcW w:w="354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w:t>
            </w:r>
          </w:p>
        </w:tc>
      </w:tr>
      <w:tr>
        <w:trPr/>
        <w:tc>
          <w:tcPr>
            <w:tcW w:w="801"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5</w:t>
            </w:r>
          </w:p>
        </w:tc>
        <w:tc>
          <w:tcPr>
            <w:tcW w:w="2977"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Собственные нужды</w:t>
            </w:r>
          </w:p>
        </w:tc>
        <w:tc>
          <w:tcPr>
            <w:tcW w:w="354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37</w:t>
            </w:r>
          </w:p>
        </w:tc>
      </w:tr>
      <w:tr>
        <w:trPr/>
        <w:tc>
          <w:tcPr>
            <w:tcW w:w="801"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6</w:t>
            </w:r>
          </w:p>
        </w:tc>
        <w:tc>
          <w:tcPr>
            <w:tcW w:w="2977"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Потери</w:t>
            </w:r>
          </w:p>
        </w:tc>
        <w:tc>
          <w:tcPr>
            <w:tcW w:w="354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720</w:t>
            </w:r>
          </w:p>
        </w:tc>
      </w:tr>
      <w:tr>
        <w:trPr/>
        <w:tc>
          <w:tcPr>
            <w:tcW w:w="801" w:type="dxa"/>
            <w:tcBorders/>
            <w:shd w:fill="auto" w:val="clear"/>
            <w:tcMar>
              <w:left w:w="108" w:type="dxa"/>
            </w:tcMar>
            <w:vAlign w:val="center"/>
          </w:tcPr>
          <w:p>
            <w:pPr>
              <w:pStyle w:val="Normal"/>
              <w:spacing w:before="0" w:after="0"/>
              <w:ind w:hanging="0"/>
              <w:jc w:val="center"/>
              <w:rPr>
                <w:rFonts w:eastAsia="Times New Roman"/>
                <w:bCs/>
                <w:szCs w:val="24"/>
              </w:rPr>
            </w:pPr>
            <w:r>
              <w:rPr>
                <w:rFonts w:eastAsia="Times New Roman"/>
                <w:bCs/>
                <w:szCs w:val="24"/>
              </w:rPr>
            </w:r>
          </w:p>
        </w:tc>
        <w:tc>
          <w:tcPr>
            <w:tcW w:w="2977"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Общее</w:t>
            </w:r>
          </w:p>
        </w:tc>
        <w:tc>
          <w:tcPr>
            <w:tcW w:w="354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93585</w:t>
            </w:r>
          </w:p>
        </w:tc>
      </w:tr>
    </w:tbl>
    <w:p>
      <w:pPr>
        <w:pStyle w:val="Normal"/>
        <w:spacing w:lineRule="auto" w:line="360" w:before="0" w:after="0"/>
        <w:ind w:hanging="0"/>
        <w:rPr>
          <w:bCs/>
          <w:sz w:val="28"/>
          <w:szCs w:val="26"/>
        </w:rPr>
      </w:pPr>
      <w:r>
        <w:rPr>
          <w:bCs/>
          <w:sz w:val="28"/>
          <w:szCs w:val="26"/>
        </w:rPr>
      </w:r>
    </w:p>
    <w:p>
      <w:pPr>
        <w:pStyle w:val="Normal"/>
        <w:spacing w:lineRule="auto" w:line="360" w:before="0" w:after="0"/>
        <w:ind w:hanging="0"/>
        <w:jc w:val="right"/>
        <w:rPr>
          <w:bCs/>
          <w:sz w:val="28"/>
          <w:szCs w:val="26"/>
        </w:rPr>
      </w:pPr>
      <w:r/>
      <w:r>
        <w:rPr>
          <w:bCs/>
          <w:sz w:val="28"/>
          <w:szCs w:val="26"/>
        </w:rPr>
        <w:drawing>
          <wp:inline distT="0" distB="0" distL="0" distR="0">
            <wp:extent cx="5276850" cy="2924175"/>
            <wp:effectExtent l="0" t="0" r="0" b="0"/>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t>С</w:t>
      </w:r>
      <w:r>
        <w:rPr>
          <w:bCs/>
          <w:sz w:val="28"/>
          <w:szCs w:val="26"/>
        </w:rPr>
        <w:t>хема 1 - Структурный водный баланс воды по группам потребителей</w:t>
      </w:r>
    </w:p>
    <w:p>
      <w:pPr>
        <w:pStyle w:val="Normal"/>
        <w:spacing w:lineRule="auto" w:line="360" w:before="0" w:after="0"/>
        <w:ind w:hanging="0"/>
        <w:rPr>
          <w:bCs/>
          <w:sz w:val="28"/>
          <w:szCs w:val="26"/>
        </w:rPr>
      </w:pPr>
      <w:r>
        <w:rPr>
          <w:bCs/>
          <w:sz w:val="28"/>
          <w:szCs w:val="26"/>
        </w:rPr>
      </w:r>
    </w:p>
    <w:p>
      <w:pPr>
        <w:pStyle w:val="Normal"/>
        <w:spacing w:lineRule="auto" w:line="360" w:before="0" w:after="0"/>
        <w:ind w:hanging="0"/>
        <w:rPr>
          <w:bCs/>
          <w:sz w:val="28"/>
          <w:szCs w:val="26"/>
        </w:rPr>
      </w:pPr>
      <w:r>
        <w:rPr>
          <w:bCs/>
          <w:sz w:val="28"/>
          <w:szCs w:val="26"/>
        </w:rPr>
      </w:r>
    </w:p>
    <w:p>
      <w:pPr>
        <w:pStyle w:val="Normal"/>
        <w:spacing w:lineRule="auto" w:line="360" w:before="0" w:after="0"/>
        <w:ind w:hanging="0"/>
        <w:rPr>
          <w:bCs/>
          <w:sz w:val="28"/>
          <w:szCs w:val="26"/>
        </w:rPr>
      </w:pPr>
      <w:r>
        <w:rPr>
          <w:bCs/>
          <w:sz w:val="28"/>
          <w:szCs w:val="26"/>
        </w:rPr>
        <w:tab/>
        <w:t>Основными потребителями воды в Алексеевском муниципальном образовании является население, что составляет 92%.</w:t>
      </w:r>
    </w:p>
    <w:p>
      <w:pPr>
        <w:pStyle w:val="2"/>
        <w:numPr>
          <w:ilvl w:val="2"/>
          <w:numId w:val="2"/>
        </w:numPr>
        <w:spacing w:before="0" w:after="200"/>
        <w:ind w:left="0" w:firstLine="567"/>
        <w:rPr>
          <w:sz w:val="28"/>
          <w:szCs w:val="24"/>
        </w:rPr>
      </w:pPr>
      <w:bookmarkStart w:id="51" w:name="_Toc381715498"/>
      <w:bookmarkStart w:id="52" w:name="_Toc380482138"/>
      <w:bookmarkStart w:id="53" w:name="_Toc360700157"/>
      <w:bookmarkStart w:id="54" w:name="_Toc360699771"/>
      <w:bookmarkStart w:id="55" w:name="_Toc360699385"/>
      <w:r>
        <w:rPr>
          <w:sz w:val="28"/>
          <w:szCs w:val="24"/>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51"/>
      <w:bookmarkEnd w:id="52"/>
      <w:bookmarkEnd w:id="53"/>
      <w:bookmarkEnd w:id="54"/>
      <w:bookmarkEnd w:id="55"/>
      <w:r>
        <w:rPr>
          <w:sz w:val="28"/>
          <w:szCs w:val="24"/>
        </w:rPr>
        <w:t>.</w:t>
      </w:r>
    </w:p>
    <w:p>
      <w:pPr>
        <w:pStyle w:val="Normal"/>
        <w:spacing w:lineRule="exact" w:line="413" w:before="0" w:after="0"/>
        <w:rPr>
          <w:sz w:val="28"/>
          <w:szCs w:val="24"/>
        </w:rPr>
      </w:pPr>
      <w:bookmarkStart w:id="56" w:name="_Toc360700164"/>
      <w:bookmarkStart w:id="57" w:name="_Toc360699778"/>
      <w:bookmarkStart w:id="58" w:name="_Toc360699392"/>
      <w:r>
        <w:rPr>
          <w:sz w:val="28"/>
          <w:szCs w:val="24"/>
        </w:rPr>
        <w:t xml:space="preserve"> </w:t>
      </w:r>
      <w:r>
        <w:rPr>
          <w:sz w:val="28"/>
          <w:szCs w:val="24"/>
        </w:rPr>
        <w:t>В муниципальном образовании Алексеевском городском поселении сведения о фактическом потреблении воды за 2018 год указаны в таблице 1.6</w:t>
      </w:r>
    </w:p>
    <w:p>
      <w:pPr>
        <w:pStyle w:val="Normal"/>
        <w:spacing w:lineRule="exact" w:line="413" w:before="0" w:after="0"/>
        <w:jc w:val="right"/>
        <w:rPr>
          <w:sz w:val="28"/>
          <w:szCs w:val="24"/>
        </w:rPr>
      </w:pPr>
      <w:r>
        <w:rPr>
          <w:sz w:val="28"/>
          <w:szCs w:val="24"/>
        </w:rPr>
      </w:r>
    </w:p>
    <w:p>
      <w:pPr>
        <w:pStyle w:val="Normal"/>
        <w:spacing w:before="0" w:after="0"/>
        <w:jc w:val="right"/>
        <w:rPr>
          <w:sz w:val="28"/>
          <w:szCs w:val="24"/>
        </w:rPr>
      </w:pPr>
      <w:r>
        <w:rPr>
          <w:sz w:val="28"/>
          <w:szCs w:val="24"/>
        </w:rPr>
        <w:t>Табл. 1.6 - Сведения о фактическом потреблении воды за 2018 год</w:t>
      </w:r>
    </w:p>
    <w:tbl>
      <w:tblPr>
        <w:tblStyle w:val="ae"/>
        <w:tblW w:w="7322" w:type="dxa"/>
        <w:jc w:val="center"/>
        <w:tblInd w:w="0" w:type="dxa"/>
        <w:tblCellMar>
          <w:top w:w="0" w:type="dxa"/>
          <w:left w:w="108" w:type="dxa"/>
          <w:bottom w:w="0" w:type="dxa"/>
          <w:right w:w="108" w:type="dxa"/>
        </w:tblCellMar>
        <w:tblLook w:val="04a0"/>
      </w:tblPr>
      <w:tblGrid>
        <w:gridCol w:w="801"/>
        <w:gridCol w:w="2977"/>
        <w:gridCol w:w="3544"/>
      </w:tblGrid>
      <w:tr>
        <w:trPr/>
        <w:tc>
          <w:tcPr>
            <w:tcW w:w="801" w:type="dxa"/>
            <w:tcBorders/>
            <w:shd w:fill="auto" w:val="clear"/>
            <w:tcMar>
              <w:left w:w="108" w:type="dxa"/>
            </w:tcMar>
            <w:vAlign w:val="center"/>
          </w:tcPr>
          <w:p>
            <w:pPr>
              <w:pStyle w:val="Normal"/>
              <w:spacing w:before="0" w:after="0"/>
              <w:ind w:hanging="0"/>
              <w:jc w:val="center"/>
              <w:rPr>
                <w:b/>
                <w:b/>
                <w:bCs/>
                <w:szCs w:val="24"/>
              </w:rPr>
            </w:pPr>
            <w:r>
              <w:rPr>
                <w:rFonts w:eastAsia="Times New Roman"/>
                <w:b/>
                <w:bCs/>
                <w:szCs w:val="24"/>
              </w:rPr>
              <w:t>№</w:t>
            </w:r>
            <w:r>
              <w:rPr>
                <w:rFonts w:eastAsia="Times New Roman"/>
                <w:b/>
                <w:bCs/>
                <w:szCs w:val="24"/>
              </w:rPr>
              <w:t>п/п</w:t>
            </w:r>
          </w:p>
        </w:tc>
        <w:tc>
          <w:tcPr>
            <w:tcW w:w="2977" w:type="dxa"/>
            <w:tcBorders/>
            <w:shd w:fill="auto" w:val="clear"/>
            <w:tcMar>
              <w:left w:w="108" w:type="dxa"/>
            </w:tcMar>
            <w:vAlign w:val="center"/>
          </w:tcPr>
          <w:p>
            <w:pPr>
              <w:pStyle w:val="Normal"/>
              <w:spacing w:before="0" w:after="0"/>
              <w:ind w:hanging="0"/>
              <w:jc w:val="center"/>
              <w:rPr>
                <w:b/>
                <w:b/>
                <w:bCs/>
                <w:szCs w:val="24"/>
              </w:rPr>
            </w:pPr>
            <w:r>
              <w:rPr>
                <w:rFonts w:eastAsia="Times New Roman"/>
                <w:b/>
                <w:bCs/>
                <w:szCs w:val="24"/>
              </w:rPr>
              <w:t>Группа потребителей</w:t>
            </w:r>
          </w:p>
        </w:tc>
        <w:tc>
          <w:tcPr>
            <w:tcW w:w="3544" w:type="dxa"/>
            <w:tcBorders/>
            <w:shd w:fill="auto" w:val="clear"/>
            <w:tcMar>
              <w:left w:w="108" w:type="dxa"/>
            </w:tcMar>
            <w:vAlign w:val="center"/>
          </w:tcPr>
          <w:p>
            <w:pPr>
              <w:pStyle w:val="Normal"/>
              <w:spacing w:before="0" w:after="0"/>
              <w:ind w:hanging="0"/>
              <w:jc w:val="center"/>
              <w:rPr>
                <w:b/>
                <w:b/>
                <w:bCs/>
                <w:szCs w:val="24"/>
              </w:rPr>
            </w:pPr>
            <w:r>
              <w:rPr>
                <w:rFonts w:eastAsia="Times New Roman"/>
                <w:b/>
                <w:bCs/>
                <w:szCs w:val="24"/>
              </w:rPr>
              <w:t>Потребление воды,</w:t>
            </w:r>
            <w:r>
              <w:rPr>
                <w:rFonts w:eastAsia="Times New Roman"/>
                <w:b/>
                <w:szCs w:val="24"/>
              </w:rPr>
              <w:t xml:space="preserve"> %</w:t>
            </w:r>
            <w:r>
              <w:rPr>
                <w:rFonts w:eastAsia="Times New Roman"/>
                <w:b/>
                <w:bCs/>
                <w:szCs w:val="24"/>
              </w:rPr>
              <w:t xml:space="preserve"> </w:t>
            </w:r>
            <w:r>
              <w:rPr>
                <w:rFonts w:eastAsia="Times New Roman"/>
                <w:b/>
                <w:szCs w:val="24"/>
              </w:rPr>
              <w:t>/год</w:t>
            </w:r>
          </w:p>
        </w:tc>
      </w:tr>
      <w:tr>
        <w:trPr/>
        <w:tc>
          <w:tcPr>
            <w:tcW w:w="801"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1</w:t>
            </w:r>
          </w:p>
        </w:tc>
        <w:tc>
          <w:tcPr>
            <w:tcW w:w="2977"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Население</w:t>
            </w:r>
          </w:p>
        </w:tc>
        <w:tc>
          <w:tcPr>
            <w:tcW w:w="3544"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92,25</w:t>
            </w:r>
          </w:p>
        </w:tc>
      </w:tr>
      <w:tr>
        <w:trPr/>
        <w:tc>
          <w:tcPr>
            <w:tcW w:w="801"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2</w:t>
            </w:r>
          </w:p>
        </w:tc>
        <w:tc>
          <w:tcPr>
            <w:tcW w:w="2977"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Организации</w:t>
            </w:r>
          </w:p>
        </w:tc>
        <w:tc>
          <w:tcPr>
            <w:tcW w:w="3544"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2,69</w:t>
            </w:r>
          </w:p>
        </w:tc>
      </w:tr>
      <w:tr>
        <w:trPr/>
        <w:tc>
          <w:tcPr>
            <w:tcW w:w="801"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3</w:t>
            </w:r>
          </w:p>
        </w:tc>
        <w:tc>
          <w:tcPr>
            <w:tcW w:w="2977"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Бюджетные учреждения</w:t>
            </w:r>
          </w:p>
        </w:tc>
        <w:tc>
          <w:tcPr>
            <w:tcW w:w="3544"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4,23</w:t>
            </w:r>
          </w:p>
        </w:tc>
      </w:tr>
      <w:tr>
        <w:trPr/>
        <w:tc>
          <w:tcPr>
            <w:tcW w:w="801"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4</w:t>
            </w:r>
          </w:p>
        </w:tc>
        <w:tc>
          <w:tcPr>
            <w:tcW w:w="2977"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Производственные нужды</w:t>
            </w:r>
          </w:p>
        </w:tc>
        <w:tc>
          <w:tcPr>
            <w:tcW w:w="3544"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w:t>
            </w:r>
          </w:p>
        </w:tc>
      </w:tr>
      <w:tr>
        <w:trPr/>
        <w:tc>
          <w:tcPr>
            <w:tcW w:w="801"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5</w:t>
            </w:r>
          </w:p>
        </w:tc>
        <w:tc>
          <w:tcPr>
            <w:tcW w:w="2977"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Собственные нужды</w:t>
            </w:r>
          </w:p>
        </w:tc>
        <w:tc>
          <w:tcPr>
            <w:tcW w:w="3544"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0,04</w:t>
            </w:r>
          </w:p>
        </w:tc>
      </w:tr>
      <w:tr>
        <w:trPr/>
        <w:tc>
          <w:tcPr>
            <w:tcW w:w="801"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6</w:t>
            </w:r>
          </w:p>
        </w:tc>
        <w:tc>
          <w:tcPr>
            <w:tcW w:w="2977"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Потери</w:t>
            </w:r>
          </w:p>
        </w:tc>
        <w:tc>
          <w:tcPr>
            <w:tcW w:w="3544" w:type="dxa"/>
            <w:tcBorders/>
            <w:shd w:fill="auto" w:val="clear"/>
            <w:tcMar>
              <w:left w:w="108" w:type="dxa"/>
            </w:tcMar>
            <w:vAlign w:val="center"/>
          </w:tcPr>
          <w:p>
            <w:pPr>
              <w:pStyle w:val="Normal"/>
              <w:spacing w:before="0" w:after="0"/>
              <w:ind w:hanging="0"/>
              <w:jc w:val="center"/>
              <w:rPr>
                <w:bCs/>
                <w:szCs w:val="24"/>
              </w:rPr>
            </w:pPr>
            <w:r>
              <w:rPr>
                <w:rFonts w:eastAsia="Times New Roman"/>
                <w:bCs/>
                <w:szCs w:val="24"/>
              </w:rPr>
              <w:t>0,77</w:t>
            </w:r>
          </w:p>
        </w:tc>
      </w:tr>
    </w:tbl>
    <w:p>
      <w:pPr>
        <w:pStyle w:val="Normal"/>
        <w:spacing w:lineRule="exact" w:line="413" w:before="0" w:after="0"/>
        <w:rPr>
          <w:sz w:val="28"/>
          <w:szCs w:val="24"/>
        </w:rPr>
      </w:pPr>
      <w:bookmarkStart w:id="59" w:name="_Toc373745171"/>
      <w:bookmarkStart w:id="60" w:name="_Toc373745171"/>
      <w:bookmarkEnd w:id="60"/>
      <w:r>
        <w:rPr>
          <w:sz w:val="28"/>
          <w:szCs w:val="24"/>
        </w:rPr>
      </w:r>
    </w:p>
    <w:p>
      <w:pPr>
        <w:pStyle w:val="Normal"/>
        <w:widowControl w:val="false"/>
        <w:numPr>
          <w:ilvl w:val="0"/>
          <w:numId w:val="0"/>
        </w:numPr>
        <w:spacing w:lineRule="exact" w:line="413" w:before="0" w:after="0"/>
        <w:outlineLvl w:val="1"/>
        <w:rPr>
          <w:color w:val="000000" w:themeColor="text1"/>
          <w:sz w:val="28"/>
          <w:szCs w:val="24"/>
        </w:rPr>
      </w:pPr>
      <w:r>
        <w:rPr>
          <w:color w:val="000000" w:themeColor="text1"/>
          <w:sz w:val="28"/>
          <w:szCs w:val="24"/>
        </w:rPr>
        <w:t>Сведения о действующих нормативах коммунальных услуг указаны в таблице 1.7.</w:t>
      </w:r>
    </w:p>
    <w:p>
      <w:pPr>
        <w:pStyle w:val="Normal"/>
        <w:widowControl w:val="false"/>
        <w:numPr>
          <w:ilvl w:val="0"/>
          <w:numId w:val="0"/>
        </w:numPr>
        <w:spacing w:lineRule="exact" w:line="413" w:before="0" w:after="0"/>
        <w:jc w:val="right"/>
        <w:outlineLvl w:val="1"/>
        <w:rPr>
          <w:color w:val="000000" w:themeColor="text1"/>
          <w:sz w:val="28"/>
          <w:szCs w:val="24"/>
        </w:rPr>
      </w:pPr>
      <w:r>
        <w:rPr>
          <w:color w:val="000000" w:themeColor="text1"/>
          <w:sz w:val="28"/>
          <w:szCs w:val="24"/>
        </w:rPr>
        <w:t xml:space="preserve">Табл. 1.7 - Сведения о действующих нормативах коммунальных услуг </w:t>
      </w:r>
    </w:p>
    <w:p>
      <w:pPr>
        <w:sectPr>
          <w:footerReference w:type="default" r:id="rId7"/>
          <w:type w:val="nextPage"/>
          <w:pgSz w:w="11906" w:h="16838"/>
          <w:pgMar w:left="1134" w:right="850" w:header="0" w:top="1134" w:footer="708" w:bottom="993" w:gutter="0"/>
          <w:pgNumType w:fmt="decimal"/>
          <w:formProt w:val="false"/>
          <w:textDirection w:val="lrTb"/>
        </w:sectPr>
      </w:pPr>
    </w:p>
    <w:tbl>
      <w:tblPr>
        <w:tblStyle w:val="ae"/>
        <w:tblW w:w="10138" w:type="dxa"/>
        <w:jc w:val="left"/>
        <w:tblInd w:w="0" w:type="dxa"/>
        <w:tblCellMar>
          <w:top w:w="0" w:type="dxa"/>
          <w:left w:w="108" w:type="dxa"/>
          <w:bottom w:w="0" w:type="dxa"/>
          <w:right w:w="108" w:type="dxa"/>
        </w:tblCellMar>
        <w:tblLook w:val="04a0"/>
      </w:tblPr>
      <w:tblGrid>
        <w:gridCol w:w="800"/>
        <w:gridCol w:w="1718"/>
        <w:gridCol w:w="1789"/>
        <w:gridCol w:w="1303"/>
        <w:gridCol w:w="1823"/>
        <w:gridCol w:w="2704"/>
      </w:tblGrid>
      <w:tr>
        <w:trPr>
          <w:trHeight w:val="1244" w:hRule="atLeast"/>
        </w:trPr>
        <w:tc>
          <w:tcPr>
            <w:tcW w:w="800" w:type="dxa"/>
            <w:tcBorders/>
            <w:shd w:fill="auto" w:val="clear"/>
            <w:tcMar>
              <w:left w:w="108" w:type="dxa"/>
            </w:tcMar>
            <w:vAlign w:val="center"/>
          </w:tcPr>
          <w:p>
            <w:pPr>
              <w:pStyle w:val="Normal"/>
              <w:widowControl w:val="false"/>
              <w:numPr>
                <w:ilvl w:val="0"/>
                <w:numId w:val="0"/>
              </w:numPr>
              <w:spacing w:before="0" w:after="0"/>
              <w:ind w:hanging="0"/>
              <w:jc w:val="center"/>
              <w:outlineLvl w:val="1"/>
              <w:rPr>
                <w:b/>
                <w:b/>
                <w:color w:val="000000" w:themeColor="text1"/>
                <w:szCs w:val="24"/>
              </w:rPr>
            </w:pPr>
            <w:r>
              <w:rPr>
                <w:rFonts w:eastAsia="Times New Roman"/>
                <w:b/>
                <w:color w:val="000000" w:themeColor="text1"/>
                <w:szCs w:val="24"/>
              </w:rPr>
              <w:t>№</w:t>
            </w:r>
            <w:r>
              <w:rPr>
                <w:rFonts w:eastAsia="Times New Roman"/>
                <w:b/>
                <w:color w:val="000000" w:themeColor="text1"/>
                <w:szCs w:val="24"/>
              </w:rPr>
              <w:t>п/п</w:t>
            </w:r>
          </w:p>
        </w:tc>
        <w:tc>
          <w:tcPr>
            <w:tcW w:w="1718" w:type="dxa"/>
            <w:tcBorders/>
            <w:shd w:fill="auto" w:val="clear"/>
            <w:tcMar>
              <w:left w:w="108" w:type="dxa"/>
            </w:tcMar>
            <w:vAlign w:val="center"/>
          </w:tcPr>
          <w:p>
            <w:pPr>
              <w:pStyle w:val="Normal"/>
              <w:widowControl w:val="false"/>
              <w:numPr>
                <w:ilvl w:val="0"/>
                <w:numId w:val="0"/>
              </w:numPr>
              <w:spacing w:before="0" w:after="0"/>
              <w:ind w:hanging="0"/>
              <w:jc w:val="center"/>
              <w:outlineLvl w:val="1"/>
              <w:rPr>
                <w:b/>
                <w:b/>
                <w:color w:val="000000" w:themeColor="text1"/>
                <w:szCs w:val="24"/>
              </w:rPr>
            </w:pPr>
            <w:r>
              <w:rPr>
                <w:rFonts w:eastAsia="Times New Roman"/>
                <w:b/>
                <w:color w:val="000000" w:themeColor="text1"/>
                <w:szCs w:val="24"/>
              </w:rPr>
              <w:t>Поселение</w:t>
            </w:r>
          </w:p>
        </w:tc>
        <w:tc>
          <w:tcPr>
            <w:tcW w:w="1789" w:type="dxa"/>
            <w:tcBorders/>
            <w:shd w:fill="auto" w:val="clear"/>
            <w:tcMar>
              <w:left w:w="108" w:type="dxa"/>
            </w:tcMar>
            <w:vAlign w:val="center"/>
          </w:tcPr>
          <w:p>
            <w:pPr>
              <w:pStyle w:val="Normal"/>
              <w:widowControl w:val="false"/>
              <w:numPr>
                <w:ilvl w:val="0"/>
                <w:numId w:val="0"/>
              </w:numPr>
              <w:spacing w:before="0" w:after="0"/>
              <w:ind w:hanging="0"/>
              <w:jc w:val="center"/>
              <w:outlineLvl w:val="1"/>
              <w:rPr>
                <w:b/>
                <w:b/>
                <w:color w:val="000000" w:themeColor="text1"/>
                <w:szCs w:val="24"/>
              </w:rPr>
            </w:pPr>
            <w:r>
              <w:rPr>
                <w:rFonts w:eastAsia="Times New Roman"/>
                <w:b/>
                <w:color w:val="000000" w:themeColor="text1"/>
                <w:szCs w:val="24"/>
              </w:rPr>
              <w:t>Организация коммунального комплекса</w:t>
            </w:r>
          </w:p>
        </w:tc>
        <w:tc>
          <w:tcPr>
            <w:tcW w:w="1303" w:type="dxa"/>
            <w:tcBorders/>
            <w:shd w:fill="auto" w:val="clear"/>
            <w:tcMar>
              <w:left w:w="108" w:type="dxa"/>
            </w:tcMar>
            <w:vAlign w:val="center"/>
          </w:tcPr>
          <w:p>
            <w:pPr>
              <w:pStyle w:val="Normal"/>
              <w:widowControl w:val="false"/>
              <w:numPr>
                <w:ilvl w:val="0"/>
                <w:numId w:val="0"/>
              </w:numPr>
              <w:spacing w:before="0" w:after="0"/>
              <w:ind w:hanging="0"/>
              <w:jc w:val="center"/>
              <w:outlineLvl w:val="1"/>
              <w:rPr>
                <w:b/>
                <w:b/>
                <w:color w:val="000000" w:themeColor="text1"/>
                <w:szCs w:val="24"/>
              </w:rPr>
            </w:pPr>
            <w:r>
              <w:rPr>
                <w:rFonts w:eastAsia="Times New Roman"/>
                <w:b/>
                <w:color w:val="000000" w:themeColor="text1"/>
                <w:szCs w:val="24"/>
              </w:rPr>
              <w:t>Тариф</w:t>
            </w:r>
          </w:p>
        </w:tc>
        <w:tc>
          <w:tcPr>
            <w:tcW w:w="1823" w:type="dxa"/>
            <w:tcBorders/>
            <w:shd w:fill="auto" w:val="clear"/>
            <w:tcMar>
              <w:left w:w="108" w:type="dxa"/>
            </w:tcMar>
            <w:vAlign w:val="center"/>
          </w:tcPr>
          <w:p>
            <w:pPr>
              <w:pStyle w:val="Normal"/>
              <w:widowControl w:val="false"/>
              <w:numPr>
                <w:ilvl w:val="0"/>
                <w:numId w:val="0"/>
              </w:numPr>
              <w:spacing w:before="0" w:after="0"/>
              <w:ind w:hanging="0"/>
              <w:jc w:val="center"/>
              <w:outlineLvl w:val="1"/>
              <w:rPr>
                <w:b/>
                <w:b/>
                <w:color w:val="000000" w:themeColor="text1"/>
                <w:szCs w:val="24"/>
              </w:rPr>
            </w:pPr>
            <w:r>
              <w:rPr>
                <w:rFonts w:eastAsia="Times New Roman"/>
                <w:b/>
                <w:color w:val="000000" w:themeColor="text1"/>
                <w:szCs w:val="24"/>
              </w:rPr>
              <w:t>Период действия тарифа</w:t>
            </w:r>
          </w:p>
        </w:tc>
        <w:tc>
          <w:tcPr>
            <w:tcW w:w="2704" w:type="dxa"/>
            <w:tcBorders/>
            <w:shd w:fill="auto" w:val="clear"/>
            <w:tcMar>
              <w:left w:w="108" w:type="dxa"/>
            </w:tcMar>
            <w:vAlign w:val="center"/>
          </w:tcPr>
          <w:p>
            <w:pPr>
              <w:pStyle w:val="Normal"/>
              <w:widowControl w:val="false"/>
              <w:numPr>
                <w:ilvl w:val="0"/>
                <w:numId w:val="0"/>
              </w:numPr>
              <w:spacing w:before="0" w:after="0"/>
              <w:ind w:hanging="0"/>
              <w:jc w:val="center"/>
              <w:outlineLvl w:val="1"/>
              <w:rPr>
                <w:b/>
                <w:b/>
                <w:color w:val="000000" w:themeColor="text1"/>
                <w:szCs w:val="24"/>
              </w:rPr>
            </w:pPr>
            <w:r>
              <w:rPr>
                <w:rFonts w:eastAsia="Times New Roman"/>
                <w:b/>
                <w:color w:val="000000" w:themeColor="text1"/>
                <w:szCs w:val="24"/>
              </w:rPr>
              <w:t>Постановления агентства по тарифам и ценам Иркутской  области</w:t>
            </w:r>
          </w:p>
        </w:tc>
      </w:tr>
      <w:tr>
        <w:trPr/>
        <w:tc>
          <w:tcPr>
            <w:tcW w:w="800" w:type="dxa"/>
            <w:tcBorders/>
            <w:shd w:fill="auto" w:val="clear"/>
            <w:tcMar>
              <w:left w:w="108" w:type="dxa"/>
            </w:tcMar>
            <w:vAlign w:val="center"/>
          </w:tcPr>
          <w:p>
            <w:pPr>
              <w:pStyle w:val="Normal"/>
              <w:widowControl w:val="false"/>
              <w:numPr>
                <w:ilvl w:val="0"/>
                <w:numId w:val="0"/>
              </w:numPr>
              <w:spacing w:before="0" w:after="0"/>
              <w:ind w:hanging="0"/>
              <w:jc w:val="center"/>
              <w:outlineLvl w:val="1"/>
              <w:rPr>
                <w:color w:val="000000" w:themeColor="text1"/>
                <w:szCs w:val="24"/>
              </w:rPr>
            </w:pPr>
            <w:r>
              <w:rPr>
                <w:rFonts w:eastAsia="Times New Roman"/>
                <w:color w:val="000000" w:themeColor="text1"/>
                <w:szCs w:val="24"/>
              </w:rPr>
              <w:t>1</w:t>
            </w:r>
          </w:p>
        </w:tc>
        <w:tc>
          <w:tcPr>
            <w:tcW w:w="1718" w:type="dxa"/>
            <w:tcBorders/>
            <w:shd w:fill="auto" w:val="clear"/>
            <w:tcMar>
              <w:left w:w="108" w:type="dxa"/>
            </w:tcMar>
            <w:vAlign w:val="center"/>
          </w:tcPr>
          <w:p>
            <w:pPr>
              <w:pStyle w:val="Normal"/>
              <w:widowControl w:val="false"/>
              <w:numPr>
                <w:ilvl w:val="0"/>
                <w:numId w:val="0"/>
              </w:numPr>
              <w:spacing w:before="0" w:after="0"/>
              <w:ind w:hanging="0"/>
              <w:jc w:val="center"/>
              <w:outlineLvl w:val="1"/>
              <w:rPr>
                <w:color w:val="000000" w:themeColor="text1"/>
                <w:szCs w:val="24"/>
              </w:rPr>
            </w:pPr>
            <w:r>
              <w:rPr>
                <w:rFonts w:eastAsia="Times New Roman"/>
                <w:color w:val="000000" w:themeColor="text1"/>
                <w:szCs w:val="24"/>
              </w:rPr>
              <w:t>п. Алексеевск</w:t>
            </w:r>
          </w:p>
        </w:tc>
        <w:tc>
          <w:tcPr>
            <w:tcW w:w="1789" w:type="dxa"/>
            <w:tcBorders/>
            <w:shd w:fill="auto" w:val="clear"/>
            <w:tcMar>
              <w:left w:w="108" w:type="dxa"/>
            </w:tcMar>
            <w:vAlign w:val="center"/>
          </w:tcPr>
          <w:p>
            <w:pPr>
              <w:pStyle w:val="Normal"/>
              <w:widowControl w:val="false"/>
              <w:numPr>
                <w:ilvl w:val="0"/>
                <w:numId w:val="0"/>
              </w:numPr>
              <w:spacing w:before="0" w:after="0"/>
              <w:ind w:hanging="0"/>
              <w:jc w:val="center"/>
              <w:outlineLvl w:val="1"/>
              <w:rPr>
                <w:color w:val="000000" w:themeColor="text1"/>
                <w:szCs w:val="24"/>
              </w:rPr>
            </w:pPr>
            <w:r>
              <w:rPr>
                <w:rFonts w:eastAsia="Times New Roman"/>
                <w:color w:val="000000" w:themeColor="text1"/>
                <w:szCs w:val="24"/>
              </w:rPr>
              <w:t>ООО "Норд Трейд"</w:t>
            </w:r>
          </w:p>
        </w:tc>
        <w:tc>
          <w:tcPr>
            <w:tcW w:w="1303" w:type="dxa"/>
            <w:tcBorders/>
            <w:shd w:fill="auto" w:val="clear"/>
            <w:tcMar>
              <w:left w:w="108" w:type="dxa"/>
            </w:tcMar>
            <w:vAlign w:val="center"/>
          </w:tcPr>
          <w:p>
            <w:pPr>
              <w:pStyle w:val="Normal"/>
              <w:widowControl w:val="false"/>
              <w:numPr>
                <w:ilvl w:val="0"/>
                <w:numId w:val="0"/>
              </w:numPr>
              <w:spacing w:before="0" w:after="0"/>
              <w:ind w:hanging="0"/>
              <w:jc w:val="center"/>
              <w:outlineLvl w:val="1"/>
              <w:rPr>
                <w:color w:val="000000" w:themeColor="text1"/>
                <w:szCs w:val="24"/>
              </w:rPr>
            </w:pPr>
            <w:r>
              <w:rPr>
                <w:rFonts w:eastAsia="Times New Roman"/>
                <w:color w:val="000000" w:themeColor="text1"/>
                <w:szCs w:val="24"/>
              </w:rPr>
              <w:t>24,01</w:t>
            </w:r>
          </w:p>
        </w:tc>
        <w:tc>
          <w:tcPr>
            <w:tcW w:w="1823" w:type="dxa"/>
            <w:tcBorders/>
            <w:shd w:fill="auto" w:val="clear"/>
            <w:tcMar>
              <w:left w:w="108" w:type="dxa"/>
            </w:tcMar>
            <w:vAlign w:val="center"/>
          </w:tcPr>
          <w:p>
            <w:pPr>
              <w:pStyle w:val="Normal"/>
              <w:widowControl w:val="false"/>
              <w:numPr>
                <w:ilvl w:val="0"/>
                <w:numId w:val="0"/>
              </w:numPr>
              <w:spacing w:before="0" w:after="0"/>
              <w:ind w:hanging="0"/>
              <w:jc w:val="center"/>
              <w:outlineLvl w:val="1"/>
              <w:rPr>
                <w:color w:val="000000" w:themeColor="text1"/>
                <w:szCs w:val="24"/>
              </w:rPr>
            </w:pPr>
            <w:r>
              <w:rPr>
                <w:rFonts w:eastAsia="Times New Roman"/>
                <w:color w:val="000000" w:themeColor="text1"/>
                <w:szCs w:val="24"/>
              </w:rPr>
              <w:t>До 30.06.2019</w:t>
            </w:r>
          </w:p>
        </w:tc>
        <w:tc>
          <w:tcPr>
            <w:tcW w:w="2704" w:type="dxa"/>
            <w:tcBorders/>
            <w:shd w:fill="auto" w:val="clear"/>
            <w:tcMar>
              <w:left w:w="108" w:type="dxa"/>
            </w:tcMar>
            <w:vAlign w:val="center"/>
          </w:tcPr>
          <w:p>
            <w:pPr>
              <w:pStyle w:val="Normal"/>
              <w:widowControl w:val="false"/>
              <w:numPr>
                <w:ilvl w:val="0"/>
                <w:numId w:val="0"/>
              </w:numPr>
              <w:spacing w:before="0" w:after="0"/>
              <w:ind w:hanging="0"/>
              <w:jc w:val="center"/>
              <w:outlineLvl w:val="1"/>
              <w:rPr>
                <w:color w:val="000000" w:themeColor="text1"/>
                <w:szCs w:val="24"/>
              </w:rPr>
            </w:pPr>
            <w:r>
              <w:rPr>
                <w:rFonts w:eastAsia="Times New Roman"/>
                <w:color w:val="000000" w:themeColor="text1"/>
                <w:szCs w:val="24"/>
              </w:rPr>
              <w:t>Постановление администрации Алексеевского муниципального образования №112 от 20.12.19 г.</w:t>
            </w:r>
          </w:p>
        </w:tc>
      </w:tr>
    </w:tbl>
    <w:p>
      <w:pPr>
        <w:sectPr>
          <w:type w:val="continuous"/>
          <w:pgSz w:w="11906" w:h="16838"/>
          <w:pgMar w:left="1134" w:right="850" w:header="0" w:top="1134" w:footer="708" w:bottom="993" w:gutter="0"/>
          <w:pgNumType w:fmt="decimal"/>
          <w:formProt w:val="false"/>
          <w:textDirection w:val="lrTb"/>
          <w:docGrid w:type="default" w:linePitch="312" w:charSpace="4294965247"/>
        </w:sectPr>
      </w:pPr>
    </w:p>
    <w:p>
      <w:pPr>
        <w:pStyle w:val="2"/>
        <w:numPr>
          <w:ilvl w:val="2"/>
          <w:numId w:val="2"/>
        </w:numPr>
        <w:tabs>
          <w:tab w:val="left" w:pos="851" w:leader="none"/>
        </w:tabs>
        <w:spacing w:before="120" w:after="240"/>
        <w:ind w:left="0" w:firstLine="567"/>
        <w:rPr>
          <w:sz w:val="28"/>
        </w:rPr>
      </w:pPr>
      <w:bookmarkStart w:id="61" w:name="_Toc360700164"/>
      <w:bookmarkStart w:id="62" w:name="_Toc360699778"/>
      <w:bookmarkStart w:id="63" w:name="_Toc360699392"/>
      <w:r>
        <w:rPr>
          <w:sz w:val="28"/>
        </w:rPr>
        <w:t xml:space="preserve"> </w:t>
      </w:r>
      <w:bookmarkStart w:id="64" w:name="_Toc381715499"/>
      <w:bookmarkStart w:id="65" w:name="_Toc380482139"/>
      <w:bookmarkStart w:id="66" w:name="_Toc360700165"/>
      <w:bookmarkStart w:id="67" w:name="_Toc360699779"/>
      <w:bookmarkStart w:id="68" w:name="_Toc360699393"/>
      <w:bookmarkEnd w:id="61"/>
      <w:bookmarkEnd w:id="62"/>
      <w:bookmarkEnd w:id="63"/>
      <w:bookmarkEnd w:id="64"/>
      <w:bookmarkEnd w:id="65"/>
      <w:bookmarkEnd w:id="66"/>
      <w:bookmarkEnd w:id="67"/>
      <w:bookmarkEnd w:id="68"/>
      <w:r>
        <w:rPr>
          <w:sz w:val="28"/>
        </w:rPr>
        <w:t>Описание существующей системы коммерческого учета воды и планов по установке приборов учета</w:t>
      </w:r>
    </w:p>
    <w:p>
      <w:pPr>
        <w:pStyle w:val="Normal"/>
        <w:spacing w:lineRule="auto" w:line="360"/>
        <w:rPr>
          <w:sz w:val="28"/>
          <w:szCs w:val="24"/>
          <w:lang w:eastAsia="ru-RU"/>
        </w:rPr>
      </w:pPr>
      <w:r>
        <w:rPr>
          <w:sz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предусмотрены организационные мероприятия, обеспечивающие создание условий для повышения энергетической эффективности экономики, в числе которых оснащение жилых домов в жилищном фонде приборами учета воды, в том числе многоквартирных домов коллективными общедомовыми приборами учета воды.</w:t>
      </w:r>
    </w:p>
    <w:p>
      <w:pPr>
        <w:pStyle w:val="Normal"/>
        <w:spacing w:lineRule="auto" w:line="360"/>
        <w:rPr>
          <w:color w:val="000000" w:themeColor="text1"/>
          <w:sz w:val="28"/>
        </w:rPr>
      </w:pPr>
      <w:r>
        <w:rPr>
          <w:sz w:val="28"/>
        </w:rPr>
        <w:t xml:space="preserve">  </w:t>
      </w:r>
      <w:r>
        <w:rPr>
          <w:color w:val="000000" w:themeColor="text1"/>
          <w:sz w:val="28"/>
        </w:rPr>
        <w:t xml:space="preserve">В настоящее время в муниципальном образовании Алексеевского городского поселения оснащенность приборами учета составляет: </w:t>
      </w:r>
    </w:p>
    <w:p>
      <w:pPr>
        <w:pStyle w:val="Normal"/>
        <w:rPr>
          <w:color w:val="000000" w:themeColor="text1"/>
          <w:sz w:val="28"/>
        </w:rPr>
      </w:pPr>
      <w:r>
        <w:rPr>
          <w:color w:val="000000" w:themeColor="text1"/>
          <w:sz w:val="28"/>
        </w:rPr>
        <w:t>1. Население - 84%</w:t>
      </w:r>
    </w:p>
    <w:p>
      <w:pPr>
        <w:pStyle w:val="Normal"/>
        <w:rPr>
          <w:color w:val="000000" w:themeColor="text1"/>
          <w:sz w:val="28"/>
        </w:rPr>
      </w:pPr>
      <w:r>
        <w:rPr>
          <w:color w:val="000000" w:themeColor="text1"/>
          <w:sz w:val="28"/>
        </w:rPr>
        <w:t>2. Учреждения - 78,5%</w:t>
      </w:r>
    </w:p>
    <w:p>
      <w:pPr>
        <w:pStyle w:val="Normal"/>
        <w:rPr>
          <w:color w:val="000000" w:themeColor="text1"/>
          <w:sz w:val="28"/>
        </w:rPr>
      </w:pPr>
      <w:r>
        <w:rPr>
          <w:color w:val="000000" w:themeColor="text1"/>
          <w:sz w:val="28"/>
        </w:rPr>
        <w:t>3. Промышленные предприятия - 50%</w:t>
      </w:r>
    </w:p>
    <w:p>
      <w:pPr>
        <w:pStyle w:val="2"/>
        <w:numPr>
          <w:ilvl w:val="2"/>
          <w:numId w:val="2"/>
        </w:numPr>
        <w:spacing w:lineRule="auto" w:line="360" w:before="120" w:after="240"/>
        <w:ind w:left="0" w:firstLine="567"/>
        <w:rPr>
          <w:sz w:val="28"/>
          <w:szCs w:val="28"/>
        </w:rPr>
      </w:pPr>
      <w:bookmarkStart w:id="69" w:name="_Toc381715500"/>
      <w:bookmarkStart w:id="70" w:name="_Toc380482140"/>
      <w:r>
        <w:rPr>
          <w:sz w:val="28"/>
          <w:szCs w:val="28"/>
        </w:rPr>
        <w:t>Анализ резервов и дефицитов производственных мощностей системы водоснабжения муниципального образования</w:t>
      </w:r>
      <w:bookmarkEnd w:id="69"/>
      <w:bookmarkEnd w:id="70"/>
      <w:r>
        <w:rPr>
          <w:sz w:val="28"/>
          <w:szCs w:val="28"/>
        </w:rPr>
        <w:t xml:space="preserve"> </w:t>
      </w:r>
    </w:p>
    <w:p>
      <w:pPr>
        <w:pStyle w:val="Normal"/>
        <w:spacing w:lineRule="auto" w:line="360"/>
        <w:rPr>
          <w:sz w:val="28"/>
          <w:szCs w:val="28"/>
        </w:rPr>
      </w:pPr>
      <w:r>
        <w:rPr>
          <w:sz w:val="28"/>
          <w:szCs w:val="28"/>
        </w:rPr>
        <w:t>В муниципальном образовании Алексеевского городского поселения фактическое количество, переданной и потреблённой воды за последние 4 года, указаны в таблице 1.8.</w:t>
      </w:r>
    </w:p>
    <w:p>
      <w:pPr>
        <w:pStyle w:val="Normal"/>
        <w:jc w:val="right"/>
        <w:rPr>
          <w:sz w:val="28"/>
          <w:szCs w:val="28"/>
        </w:rPr>
      </w:pPr>
      <w:r>
        <w:rPr>
          <w:sz w:val="28"/>
          <w:szCs w:val="28"/>
        </w:rPr>
        <w:t>Табл. 1.8 - Фактическое количество, переданной воды за последние 4 года.</w:t>
      </w:r>
    </w:p>
    <w:tbl>
      <w:tblPr>
        <w:tblStyle w:val="ae"/>
        <w:tblW w:w="6839" w:type="dxa"/>
        <w:jc w:val="center"/>
        <w:tblInd w:w="0" w:type="dxa"/>
        <w:tblCellMar>
          <w:top w:w="0" w:type="dxa"/>
          <w:left w:w="108" w:type="dxa"/>
          <w:bottom w:w="0" w:type="dxa"/>
          <w:right w:w="108" w:type="dxa"/>
        </w:tblCellMar>
        <w:tblLook w:val="04a0"/>
      </w:tblPr>
      <w:tblGrid>
        <w:gridCol w:w="800"/>
        <w:gridCol w:w="1158"/>
        <w:gridCol w:w="4881"/>
      </w:tblGrid>
      <w:tr>
        <w:trPr/>
        <w:tc>
          <w:tcPr>
            <w:tcW w:w="800" w:type="dxa"/>
            <w:tcBorders/>
            <w:shd w:fill="auto" w:val="clear"/>
            <w:tcMar>
              <w:left w:w="108" w:type="dxa"/>
            </w:tcMar>
            <w:vAlign w:val="center"/>
          </w:tcPr>
          <w:p>
            <w:pPr>
              <w:pStyle w:val="Normal"/>
              <w:spacing w:lineRule="auto" w:line="240" w:before="60" w:after="60"/>
              <w:ind w:hanging="0"/>
              <w:jc w:val="center"/>
              <w:rPr>
                <w:b/>
                <w:b/>
                <w:szCs w:val="28"/>
              </w:rPr>
            </w:pPr>
            <w:r>
              <w:rPr>
                <w:rFonts w:eastAsia="Times New Roman"/>
                <w:b/>
                <w:szCs w:val="28"/>
              </w:rPr>
              <w:t>№</w:t>
            </w:r>
            <w:r>
              <w:rPr>
                <w:rFonts w:eastAsia="Times New Roman"/>
                <w:b/>
                <w:szCs w:val="28"/>
              </w:rPr>
              <w:t>п/п</w:t>
            </w:r>
          </w:p>
        </w:tc>
        <w:tc>
          <w:tcPr>
            <w:tcW w:w="1158" w:type="dxa"/>
            <w:tcBorders/>
            <w:shd w:fill="auto" w:val="clear"/>
            <w:tcMar>
              <w:left w:w="108" w:type="dxa"/>
            </w:tcMar>
            <w:vAlign w:val="center"/>
          </w:tcPr>
          <w:p>
            <w:pPr>
              <w:pStyle w:val="Normal"/>
              <w:spacing w:lineRule="auto" w:line="240" w:before="60" w:after="60"/>
              <w:ind w:hanging="0"/>
              <w:jc w:val="center"/>
              <w:rPr>
                <w:b/>
                <w:b/>
                <w:szCs w:val="28"/>
              </w:rPr>
            </w:pPr>
            <w:r>
              <w:rPr>
                <w:rFonts w:eastAsia="Times New Roman"/>
                <w:b/>
                <w:szCs w:val="28"/>
              </w:rPr>
              <w:t>Год</w:t>
            </w:r>
          </w:p>
        </w:tc>
        <w:tc>
          <w:tcPr>
            <w:tcW w:w="4881" w:type="dxa"/>
            <w:tcBorders/>
            <w:shd w:fill="auto" w:val="clear"/>
            <w:tcMar>
              <w:left w:w="108" w:type="dxa"/>
            </w:tcMar>
            <w:vAlign w:val="center"/>
          </w:tcPr>
          <w:p>
            <w:pPr>
              <w:pStyle w:val="Normal"/>
              <w:spacing w:lineRule="auto" w:line="240" w:before="60" w:after="60"/>
              <w:ind w:left="-131" w:right="-166" w:hanging="0"/>
              <w:jc w:val="center"/>
              <w:rPr>
                <w:b/>
                <w:b/>
                <w:szCs w:val="28"/>
              </w:rPr>
            </w:pPr>
            <w:r>
              <w:rPr>
                <w:rFonts w:eastAsia="Times New Roman"/>
                <w:b/>
                <w:szCs w:val="28"/>
              </w:rPr>
              <w:t>Объем переданной и потребленной воды, м³</w:t>
            </w:r>
          </w:p>
        </w:tc>
      </w:tr>
      <w:tr>
        <w:trPr>
          <w:trHeight w:val="263" w:hRule="atLeast"/>
        </w:trPr>
        <w:tc>
          <w:tcPr>
            <w:tcW w:w="800" w:type="dxa"/>
            <w:tcBorders/>
            <w:shd w:fill="auto" w:val="clear"/>
            <w:tcMar>
              <w:left w:w="108" w:type="dxa"/>
            </w:tcMar>
            <w:vAlign w:val="center"/>
          </w:tcPr>
          <w:p>
            <w:pPr>
              <w:pStyle w:val="Normal"/>
              <w:spacing w:lineRule="auto" w:line="240" w:before="60" w:after="60"/>
              <w:ind w:hanging="0"/>
              <w:jc w:val="center"/>
              <w:rPr>
                <w:szCs w:val="28"/>
              </w:rPr>
            </w:pPr>
            <w:r>
              <w:rPr>
                <w:rFonts w:eastAsia="Times New Roman"/>
                <w:szCs w:val="28"/>
              </w:rPr>
              <w:t>1</w:t>
            </w:r>
          </w:p>
        </w:tc>
        <w:tc>
          <w:tcPr>
            <w:tcW w:w="1158" w:type="dxa"/>
            <w:tcBorders/>
            <w:shd w:fill="auto" w:val="clear"/>
            <w:tcMar>
              <w:left w:w="108" w:type="dxa"/>
            </w:tcMar>
            <w:vAlign w:val="center"/>
          </w:tcPr>
          <w:p>
            <w:pPr>
              <w:pStyle w:val="Normal"/>
              <w:spacing w:lineRule="auto" w:line="240" w:before="60" w:after="60"/>
              <w:ind w:hanging="0"/>
              <w:jc w:val="center"/>
              <w:rPr>
                <w:szCs w:val="28"/>
              </w:rPr>
            </w:pPr>
            <w:r>
              <w:rPr>
                <w:rFonts w:eastAsia="Times New Roman"/>
                <w:szCs w:val="28"/>
              </w:rPr>
              <w:t>2015</w:t>
            </w:r>
          </w:p>
        </w:tc>
        <w:tc>
          <w:tcPr>
            <w:tcW w:w="4881" w:type="dxa"/>
            <w:tcBorders/>
            <w:shd w:fill="auto" w:val="clear"/>
            <w:tcMar>
              <w:left w:w="108" w:type="dxa"/>
            </w:tcMar>
            <w:vAlign w:val="center"/>
          </w:tcPr>
          <w:p>
            <w:pPr>
              <w:pStyle w:val="Normal"/>
              <w:spacing w:lineRule="auto" w:line="240" w:before="60" w:after="60"/>
              <w:ind w:hanging="0"/>
              <w:jc w:val="center"/>
              <w:rPr>
                <w:szCs w:val="28"/>
              </w:rPr>
            </w:pPr>
            <w:r>
              <w:rPr>
                <w:rFonts w:eastAsia="Times New Roman"/>
                <w:szCs w:val="28"/>
              </w:rPr>
              <w:t>101700</w:t>
            </w:r>
          </w:p>
        </w:tc>
      </w:tr>
      <w:tr>
        <w:trPr/>
        <w:tc>
          <w:tcPr>
            <w:tcW w:w="800" w:type="dxa"/>
            <w:tcBorders/>
            <w:shd w:fill="auto" w:val="clear"/>
            <w:tcMar>
              <w:left w:w="108" w:type="dxa"/>
            </w:tcMar>
            <w:vAlign w:val="center"/>
          </w:tcPr>
          <w:p>
            <w:pPr>
              <w:pStyle w:val="Normal"/>
              <w:spacing w:lineRule="auto" w:line="240" w:before="60" w:after="60"/>
              <w:ind w:hanging="0"/>
              <w:jc w:val="center"/>
              <w:rPr>
                <w:szCs w:val="28"/>
              </w:rPr>
            </w:pPr>
            <w:r>
              <w:rPr>
                <w:rFonts w:eastAsia="Times New Roman"/>
                <w:szCs w:val="28"/>
              </w:rPr>
              <w:t>2</w:t>
            </w:r>
          </w:p>
        </w:tc>
        <w:tc>
          <w:tcPr>
            <w:tcW w:w="1158" w:type="dxa"/>
            <w:tcBorders/>
            <w:shd w:fill="auto" w:val="clear"/>
            <w:tcMar>
              <w:left w:w="108" w:type="dxa"/>
            </w:tcMar>
            <w:vAlign w:val="center"/>
          </w:tcPr>
          <w:p>
            <w:pPr>
              <w:pStyle w:val="Normal"/>
              <w:spacing w:lineRule="auto" w:line="240" w:before="60" w:after="60"/>
              <w:ind w:hanging="0"/>
              <w:jc w:val="center"/>
              <w:rPr>
                <w:szCs w:val="28"/>
              </w:rPr>
            </w:pPr>
            <w:r>
              <w:rPr>
                <w:rFonts w:eastAsia="Times New Roman"/>
                <w:szCs w:val="28"/>
              </w:rPr>
              <w:t>2016</w:t>
            </w:r>
          </w:p>
        </w:tc>
        <w:tc>
          <w:tcPr>
            <w:tcW w:w="4881" w:type="dxa"/>
            <w:tcBorders/>
            <w:shd w:fill="auto" w:val="clear"/>
            <w:tcMar>
              <w:left w:w="108" w:type="dxa"/>
            </w:tcMar>
            <w:vAlign w:val="center"/>
          </w:tcPr>
          <w:p>
            <w:pPr>
              <w:pStyle w:val="Normal"/>
              <w:spacing w:lineRule="auto" w:line="240" w:before="60" w:after="60"/>
              <w:ind w:hanging="0"/>
              <w:jc w:val="center"/>
              <w:rPr>
                <w:szCs w:val="28"/>
              </w:rPr>
            </w:pPr>
            <w:r>
              <w:rPr>
                <w:rFonts w:eastAsia="Times New Roman"/>
                <w:szCs w:val="28"/>
              </w:rPr>
              <w:t>97587</w:t>
            </w:r>
          </w:p>
        </w:tc>
      </w:tr>
      <w:tr>
        <w:trPr/>
        <w:tc>
          <w:tcPr>
            <w:tcW w:w="800" w:type="dxa"/>
            <w:tcBorders/>
            <w:shd w:fill="auto" w:val="clear"/>
            <w:tcMar>
              <w:left w:w="108" w:type="dxa"/>
            </w:tcMar>
            <w:vAlign w:val="center"/>
          </w:tcPr>
          <w:p>
            <w:pPr>
              <w:pStyle w:val="Normal"/>
              <w:spacing w:lineRule="auto" w:line="240" w:before="60" w:after="60"/>
              <w:ind w:hanging="0"/>
              <w:jc w:val="center"/>
              <w:rPr>
                <w:szCs w:val="28"/>
              </w:rPr>
            </w:pPr>
            <w:r>
              <w:rPr>
                <w:rFonts w:eastAsia="Times New Roman"/>
                <w:szCs w:val="28"/>
              </w:rPr>
              <w:t>3</w:t>
            </w:r>
          </w:p>
        </w:tc>
        <w:tc>
          <w:tcPr>
            <w:tcW w:w="1158" w:type="dxa"/>
            <w:tcBorders/>
            <w:shd w:fill="auto" w:val="clear"/>
            <w:tcMar>
              <w:left w:w="108" w:type="dxa"/>
            </w:tcMar>
            <w:vAlign w:val="center"/>
          </w:tcPr>
          <w:p>
            <w:pPr>
              <w:pStyle w:val="Normal"/>
              <w:spacing w:lineRule="auto" w:line="240" w:before="60" w:after="60"/>
              <w:ind w:hanging="0"/>
              <w:jc w:val="center"/>
              <w:rPr>
                <w:szCs w:val="28"/>
              </w:rPr>
            </w:pPr>
            <w:r>
              <w:rPr>
                <w:rFonts w:eastAsia="Times New Roman"/>
                <w:szCs w:val="28"/>
              </w:rPr>
              <w:t>2017</w:t>
            </w:r>
          </w:p>
        </w:tc>
        <w:tc>
          <w:tcPr>
            <w:tcW w:w="4881" w:type="dxa"/>
            <w:tcBorders/>
            <w:shd w:fill="auto" w:val="clear"/>
            <w:tcMar>
              <w:left w:w="108" w:type="dxa"/>
            </w:tcMar>
            <w:vAlign w:val="center"/>
          </w:tcPr>
          <w:p>
            <w:pPr>
              <w:pStyle w:val="Normal"/>
              <w:spacing w:lineRule="auto" w:line="240" w:before="60" w:after="60"/>
              <w:ind w:hanging="0"/>
              <w:jc w:val="center"/>
              <w:rPr>
                <w:szCs w:val="28"/>
              </w:rPr>
            </w:pPr>
            <w:r>
              <w:rPr>
                <w:rFonts w:eastAsia="Times New Roman"/>
                <w:szCs w:val="28"/>
              </w:rPr>
              <w:t>94159</w:t>
            </w:r>
          </w:p>
        </w:tc>
      </w:tr>
      <w:tr>
        <w:trPr>
          <w:trHeight w:val="214" w:hRule="atLeast"/>
        </w:trPr>
        <w:tc>
          <w:tcPr>
            <w:tcW w:w="800" w:type="dxa"/>
            <w:tcBorders/>
            <w:shd w:fill="auto" w:val="clear"/>
            <w:tcMar>
              <w:left w:w="108" w:type="dxa"/>
            </w:tcMar>
            <w:vAlign w:val="center"/>
          </w:tcPr>
          <w:p>
            <w:pPr>
              <w:pStyle w:val="Normal"/>
              <w:spacing w:lineRule="auto" w:line="240" w:before="60" w:after="60"/>
              <w:ind w:hanging="0"/>
              <w:jc w:val="center"/>
              <w:rPr>
                <w:szCs w:val="28"/>
              </w:rPr>
            </w:pPr>
            <w:r>
              <w:rPr>
                <w:rFonts w:eastAsia="Times New Roman"/>
                <w:szCs w:val="28"/>
              </w:rPr>
              <w:t>4</w:t>
            </w:r>
          </w:p>
        </w:tc>
        <w:tc>
          <w:tcPr>
            <w:tcW w:w="1158" w:type="dxa"/>
            <w:tcBorders/>
            <w:shd w:fill="auto" w:val="clear"/>
            <w:tcMar>
              <w:left w:w="108" w:type="dxa"/>
            </w:tcMar>
            <w:vAlign w:val="center"/>
          </w:tcPr>
          <w:p>
            <w:pPr>
              <w:pStyle w:val="Normal"/>
              <w:spacing w:lineRule="auto" w:line="240" w:before="60" w:after="60"/>
              <w:ind w:hanging="0"/>
              <w:jc w:val="center"/>
              <w:rPr>
                <w:szCs w:val="28"/>
              </w:rPr>
            </w:pPr>
            <w:r>
              <w:rPr>
                <w:rFonts w:eastAsia="Times New Roman"/>
                <w:szCs w:val="28"/>
              </w:rPr>
              <w:t>2018</w:t>
            </w:r>
          </w:p>
        </w:tc>
        <w:tc>
          <w:tcPr>
            <w:tcW w:w="4881" w:type="dxa"/>
            <w:tcBorders/>
            <w:shd w:fill="auto" w:val="clear"/>
            <w:tcMar>
              <w:left w:w="108" w:type="dxa"/>
            </w:tcMar>
            <w:vAlign w:val="center"/>
          </w:tcPr>
          <w:p>
            <w:pPr>
              <w:pStyle w:val="Normal"/>
              <w:spacing w:lineRule="auto" w:line="240" w:before="60" w:after="60"/>
              <w:ind w:hanging="0"/>
              <w:jc w:val="center"/>
              <w:rPr>
                <w:szCs w:val="28"/>
              </w:rPr>
            </w:pPr>
            <w:r>
              <w:rPr>
                <w:rFonts w:eastAsia="Times New Roman"/>
                <w:szCs w:val="28"/>
              </w:rPr>
              <w:t>93585</w:t>
            </w:r>
          </w:p>
        </w:tc>
      </w:tr>
    </w:tbl>
    <w:p>
      <w:pPr>
        <w:pStyle w:val="Normal"/>
        <w:spacing w:lineRule="auto" w:line="360" w:before="120" w:after="0"/>
        <w:rPr>
          <w:sz w:val="28"/>
          <w:szCs w:val="28"/>
        </w:rPr>
      </w:pPr>
      <w:r>
        <w:rPr>
          <w:sz w:val="28"/>
          <w:szCs w:val="28"/>
        </w:rPr>
        <w:t>Планируемый объем переданной и потребленной воды на 2019 год, составляет: 90354м³.</w:t>
      </w:r>
    </w:p>
    <w:p>
      <w:pPr>
        <w:pStyle w:val="Normal"/>
        <w:spacing w:lineRule="auto" w:line="360" w:before="0" w:after="0"/>
        <w:rPr>
          <w:sz w:val="28"/>
          <w:szCs w:val="28"/>
          <w:lang w:eastAsia="ru-RU"/>
        </w:rPr>
      </w:pPr>
      <w:r>
        <w:rPr>
          <w:sz w:val="28"/>
          <w:szCs w:val="28"/>
        </w:rPr>
        <w:t>В связи с исходными данными, следует отметить, что существующее водоснабжения городского поселения не испытывает дефицита воды на источниках.</w:t>
      </w:r>
    </w:p>
    <w:p>
      <w:pPr>
        <w:pStyle w:val="2"/>
        <w:numPr>
          <w:ilvl w:val="2"/>
          <w:numId w:val="2"/>
        </w:numPr>
        <w:spacing w:lineRule="auto" w:line="360" w:before="120" w:after="240"/>
        <w:ind w:left="0" w:firstLine="567"/>
        <w:rPr>
          <w:sz w:val="28"/>
          <w:szCs w:val="28"/>
        </w:rPr>
      </w:pPr>
      <w:bookmarkStart w:id="71" w:name="_Toc381715501"/>
      <w:bookmarkStart w:id="72" w:name="_Toc380482141"/>
      <w:r>
        <w:rPr>
          <w:sz w:val="28"/>
          <w:szCs w:val="28"/>
        </w:rPr>
        <w:t>Прогнозный баланс потребления воды на срок не менее 10 лет с учетом сценария развития муниципального образования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Start w:id="73" w:name="_Toc381715502"/>
      <w:bookmarkStart w:id="74" w:name="_Toc380482142"/>
      <w:bookmarkEnd w:id="71"/>
      <w:bookmarkEnd w:id="72"/>
      <w:r>
        <w:rPr>
          <w:sz w:val="28"/>
          <w:szCs w:val="28"/>
        </w:rPr>
        <w:t>.</w:t>
      </w:r>
    </w:p>
    <w:p>
      <w:pPr>
        <w:pStyle w:val="Style32"/>
        <w:spacing w:lineRule="auto" w:line="360" w:before="0" w:after="0"/>
        <w:rPr>
          <w:sz w:val="28"/>
          <w:szCs w:val="28"/>
        </w:rPr>
      </w:pPr>
      <w:r>
        <w:rPr>
          <w:sz w:val="28"/>
          <w:szCs w:val="28"/>
        </w:rPr>
        <w:t xml:space="preserve">В населенных пунктах Алексеевского муниципального образования на 1 очередь предусматривается: </w:t>
      </w:r>
    </w:p>
    <w:p>
      <w:pPr>
        <w:pStyle w:val="Style32"/>
        <w:spacing w:lineRule="auto" w:line="360" w:before="0" w:after="0"/>
        <w:rPr>
          <w:sz w:val="28"/>
          <w:szCs w:val="28"/>
        </w:rPr>
      </w:pPr>
      <w:r>
        <w:rPr>
          <w:sz w:val="28"/>
          <w:szCs w:val="28"/>
        </w:rPr>
        <w:t>1. Строительство участка резервной водотрассы, протяженностью 380м.</w:t>
      </w:r>
    </w:p>
    <w:p>
      <w:pPr>
        <w:pStyle w:val="Style32"/>
        <w:spacing w:lineRule="auto" w:line="360" w:before="0" w:after="0"/>
        <w:rPr>
          <w:sz w:val="28"/>
          <w:szCs w:val="28"/>
        </w:rPr>
      </w:pPr>
      <w:r>
        <w:rPr>
          <w:sz w:val="28"/>
          <w:szCs w:val="28"/>
        </w:rPr>
        <w:t xml:space="preserve">2. Реконструкция сетей существующего водопровода, ввиду износа 60%, что составляет 6,6 км. </w:t>
      </w:r>
    </w:p>
    <w:p>
      <w:pPr>
        <w:pStyle w:val="Normal"/>
        <w:spacing w:lineRule="auto" w:line="360" w:before="0" w:after="0"/>
        <w:rPr>
          <w:sz w:val="28"/>
          <w:szCs w:val="28"/>
        </w:rPr>
      </w:pPr>
      <w:r>
        <w:rPr>
          <w:color w:val="FF0000"/>
          <w:sz w:val="28"/>
          <w:szCs w:val="28"/>
        </w:rPr>
        <w:t xml:space="preserve">3. </w:t>
      </w:r>
      <w:r>
        <w:rPr>
          <w:sz w:val="28"/>
          <w:szCs w:val="28"/>
        </w:rPr>
        <w:t>Капитальный ремонт ограждения территории водозабора в связи с ветхостью существующего (протяженность ограждения 280 м, материал профлист).</w:t>
      </w:r>
    </w:p>
    <w:p>
      <w:pPr>
        <w:pStyle w:val="Style32"/>
        <w:spacing w:lineRule="auto" w:line="360" w:before="0" w:after="0"/>
        <w:rPr>
          <w:sz w:val="28"/>
          <w:szCs w:val="28"/>
        </w:rPr>
      </w:pPr>
      <w:r>
        <w:rPr>
          <w:sz w:val="28"/>
          <w:szCs w:val="28"/>
        </w:rPr>
        <w:t>Данные о численности населения приведены  в таблице 1.9.</w:t>
      </w:r>
    </w:p>
    <w:p>
      <w:pPr>
        <w:pStyle w:val="Style32"/>
        <w:shd w:val="clear" w:color="auto" w:fill="FFFFFF"/>
        <w:spacing w:lineRule="auto" w:line="360" w:before="0" w:after="0"/>
        <w:jc w:val="right"/>
        <w:rPr>
          <w:b/>
          <w:b/>
          <w:bCs/>
          <w:sz w:val="28"/>
          <w:szCs w:val="28"/>
        </w:rPr>
      </w:pPr>
      <w:r>
        <w:rPr>
          <w:sz w:val="28"/>
          <w:szCs w:val="28"/>
        </w:rPr>
        <w:t>Табл. 1.9 - Данные о численности населения</w:t>
      </w:r>
    </w:p>
    <w:tbl>
      <w:tblPr>
        <w:tblW w:w="10046" w:type="dxa"/>
        <w:jc w:val="left"/>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tblPr>
      <w:tblGrid>
        <w:gridCol w:w="962"/>
        <w:gridCol w:w="2455"/>
        <w:gridCol w:w="1654"/>
        <w:gridCol w:w="1291"/>
        <w:gridCol w:w="992"/>
        <w:gridCol w:w="1418"/>
        <w:gridCol w:w="1273"/>
      </w:tblGrid>
      <w:tr>
        <w:trPr>
          <w:trHeight w:val="276" w:hRule="atLeast"/>
        </w:trPr>
        <w:tc>
          <w:tcPr>
            <w:tcW w:w="96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hd w:val="clear" w:color="auto" w:fill="FFFFFF"/>
              <w:spacing w:lineRule="auto" w:line="240" w:before="0" w:after="0"/>
              <w:ind w:hanging="0"/>
              <w:jc w:val="center"/>
              <w:rPr>
                <w:b/>
                <w:b/>
                <w:bCs/>
                <w:szCs w:val="24"/>
              </w:rPr>
            </w:pPr>
            <w:r>
              <w:rPr>
                <w:b/>
                <w:bCs/>
                <w:szCs w:val="24"/>
              </w:rPr>
              <w:t xml:space="preserve">№ </w:t>
            </w:r>
            <w:r>
              <w:rPr>
                <w:b/>
                <w:bCs/>
                <w:szCs w:val="24"/>
              </w:rPr>
              <w:t>п/п</w:t>
            </w:r>
          </w:p>
        </w:tc>
        <w:tc>
          <w:tcPr>
            <w:tcW w:w="2455" w:type="dxa"/>
            <w:vMerge w:val="restart"/>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103" w:type="dxa"/>
            </w:tcMar>
            <w:vAlign w:val="center"/>
          </w:tcPr>
          <w:p>
            <w:pPr>
              <w:pStyle w:val="Normal"/>
              <w:shd w:val="clear" w:color="auto" w:fill="FFFFFF"/>
              <w:spacing w:lineRule="auto" w:line="240" w:before="0" w:after="0"/>
              <w:ind w:hanging="0"/>
              <w:jc w:val="center"/>
              <w:rPr>
                <w:b/>
                <w:b/>
                <w:bCs/>
                <w:szCs w:val="24"/>
              </w:rPr>
            </w:pPr>
            <w:r>
              <w:rPr>
                <w:b/>
                <w:bCs/>
                <w:szCs w:val="24"/>
              </w:rPr>
              <w:t>Перечень населенных пунктов</w:t>
            </w:r>
          </w:p>
        </w:tc>
        <w:tc>
          <w:tcPr>
            <w:tcW w:w="6628" w:type="dxa"/>
            <w:gridSpan w:val="5"/>
            <w:tcBorders>
              <w:top w:val="single" w:sz="4" w:space="0" w:color="00000A"/>
              <w:bottom w:val="single" w:sz="4" w:space="0" w:color="00000A"/>
              <w:right w:val="single" w:sz="4" w:space="0" w:color="000001"/>
              <w:insideH w:val="single" w:sz="4" w:space="0" w:color="00000A"/>
              <w:insideV w:val="single" w:sz="4" w:space="0" w:color="000001"/>
            </w:tcBorders>
            <w:shd w:color="auto" w:fill="auto" w:val="clear"/>
            <w:vAlign w:val="center"/>
          </w:tcPr>
          <w:p>
            <w:pPr>
              <w:pStyle w:val="Normal"/>
              <w:shd w:val="clear" w:color="auto" w:fill="FFFFFF"/>
              <w:spacing w:lineRule="auto" w:line="240" w:before="0" w:after="0"/>
              <w:ind w:hanging="0"/>
              <w:jc w:val="center"/>
              <w:rPr>
                <w:b/>
                <w:b/>
                <w:bCs/>
                <w:szCs w:val="24"/>
              </w:rPr>
            </w:pPr>
            <w:r>
              <w:rPr>
                <w:b/>
                <w:bCs/>
                <w:szCs w:val="24"/>
              </w:rPr>
              <w:t> </w:t>
            </w:r>
            <w:r>
              <w:rPr>
                <w:b/>
                <w:bCs/>
                <w:szCs w:val="24"/>
              </w:rPr>
              <w:t>Численность населения, чел.</w:t>
            </w:r>
          </w:p>
        </w:tc>
      </w:tr>
      <w:tr>
        <w:trPr>
          <w:trHeight w:val="747" w:hRule="atLeast"/>
        </w:trPr>
        <w:tc>
          <w:tcPr>
            <w:tcW w:w="96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hd w:val="clear" w:color="auto" w:fill="FFFFFF"/>
              <w:spacing w:lineRule="auto" w:line="240" w:before="0" w:after="0"/>
              <w:ind w:hanging="0"/>
              <w:rPr>
                <w:b/>
                <w:b/>
                <w:bCs/>
                <w:szCs w:val="24"/>
              </w:rPr>
            </w:pPr>
            <w:r>
              <w:rPr>
                <w:b/>
                <w:bCs/>
                <w:szCs w:val="24"/>
              </w:rPr>
            </w:r>
          </w:p>
        </w:tc>
        <w:tc>
          <w:tcPr>
            <w:tcW w:w="2455" w:type="dxa"/>
            <w:vMerge w:val="continue"/>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3" w:type="dxa"/>
            </w:tcMar>
            <w:vAlign w:val="center"/>
          </w:tcPr>
          <w:p>
            <w:pPr>
              <w:pStyle w:val="Normal"/>
              <w:shd w:val="clear" w:color="auto" w:fill="FFFFFF"/>
              <w:spacing w:lineRule="auto" w:line="240" w:before="0" w:after="0"/>
              <w:ind w:hanging="0"/>
              <w:rPr>
                <w:b/>
                <w:b/>
                <w:bCs/>
                <w:szCs w:val="24"/>
              </w:rPr>
            </w:pPr>
            <w:r>
              <w:rPr>
                <w:b/>
                <w:bCs/>
                <w:szCs w:val="24"/>
              </w:rPr>
            </w:r>
          </w:p>
        </w:tc>
        <w:tc>
          <w:tcPr>
            <w:tcW w:w="1654" w:type="dxa"/>
            <w:vMerge w:val="restart"/>
            <w:tcBorders>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103" w:type="dxa"/>
            </w:tcMar>
            <w:vAlign w:val="center"/>
          </w:tcPr>
          <w:p>
            <w:pPr>
              <w:pStyle w:val="Normal"/>
              <w:shd w:val="clear" w:color="auto" w:fill="FFFFFF"/>
              <w:spacing w:lineRule="auto" w:line="240" w:before="0" w:after="0"/>
              <w:ind w:hanging="0"/>
              <w:jc w:val="center"/>
              <w:rPr>
                <w:b/>
                <w:b/>
                <w:bCs/>
                <w:szCs w:val="24"/>
              </w:rPr>
            </w:pPr>
            <w:r>
              <w:rPr>
                <w:b/>
                <w:bCs/>
                <w:szCs w:val="24"/>
              </w:rPr>
              <w:t>Современное состояние, 2018 г</w:t>
            </w:r>
          </w:p>
        </w:tc>
        <w:tc>
          <w:tcPr>
            <w:tcW w:w="2283"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hd w:val="clear" w:color="auto" w:fill="FFFFFF"/>
              <w:spacing w:lineRule="auto" w:line="240" w:before="0" w:after="0"/>
              <w:ind w:hanging="0"/>
              <w:jc w:val="center"/>
              <w:rPr>
                <w:b/>
                <w:b/>
                <w:bCs/>
                <w:szCs w:val="24"/>
              </w:rPr>
            </w:pPr>
            <w:r>
              <w:rPr>
                <w:b/>
                <w:bCs/>
                <w:szCs w:val="24"/>
                <w:lang w:val="en-US"/>
              </w:rPr>
              <w:t xml:space="preserve">I </w:t>
            </w:r>
            <w:r>
              <w:rPr>
                <w:b/>
                <w:bCs/>
                <w:szCs w:val="24"/>
              </w:rPr>
              <w:t>очередь, 2026г</w:t>
            </w:r>
          </w:p>
        </w:tc>
        <w:tc>
          <w:tcPr>
            <w:tcW w:w="269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hd w:val="clear" w:color="auto" w:fill="FFFFFF"/>
              <w:spacing w:lineRule="auto" w:line="240" w:before="0" w:after="0"/>
              <w:ind w:hanging="0"/>
              <w:jc w:val="center"/>
              <w:rPr>
                <w:b/>
                <w:b/>
                <w:bCs/>
                <w:szCs w:val="24"/>
              </w:rPr>
            </w:pPr>
            <w:r>
              <w:rPr>
                <w:b/>
                <w:bCs/>
                <w:szCs w:val="24"/>
              </w:rPr>
              <w:t>Расчётный срок, 2034г</w:t>
            </w:r>
          </w:p>
        </w:tc>
      </w:tr>
      <w:tr>
        <w:trPr>
          <w:trHeight w:val="193" w:hRule="atLeast"/>
        </w:trPr>
        <w:tc>
          <w:tcPr>
            <w:tcW w:w="96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hd w:val="clear" w:color="auto" w:fill="FFFFFF"/>
              <w:spacing w:lineRule="auto" w:line="240" w:before="0" w:after="0"/>
              <w:ind w:hanging="0"/>
              <w:rPr>
                <w:b/>
                <w:b/>
                <w:bCs/>
                <w:szCs w:val="24"/>
              </w:rPr>
            </w:pPr>
            <w:r>
              <w:rPr>
                <w:b/>
                <w:bCs/>
                <w:szCs w:val="24"/>
              </w:rPr>
            </w:r>
          </w:p>
        </w:tc>
        <w:tc>
          <w:tcPr>
            <w:tcW w:w="2455" w:type="dxa"/>
            <w:vMerge w:val="continue"/>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3" w:type="dxa"/>
            </w:tcMar>
            <w:vAlign w:val="center"/>
          </w:tcPr>
          <w:p>
            <w:pPr>
              <w:pStyle w:val="Normal"/>
              <w:shd w:val="clear" w:color="auto" w:fill="FFFFFF"/>
              <w:spacing w:lineRule="auto" w:line="240" w:before="0" w:after="0"/>
              <w:ind w:hanging="0"/>
              <w:rPr>
                <w:b/>
                <w:b/>
                <w:bCs/>
                <w:szCs w:val="24"/>
              </w:rPr>
            </w:pPr>
            <w:r>
              <w:rPr>
                <w:b/>
                <w:bCs/>
                <w:szCs w:val="24"/>
              </w:rPr>
            </w:r>
          </w:p>
        </w:tc>
        <w:tc>
          <w:tcPr>
            <w:tcW w:w="1654" w:type="dxa"/>
            <w:vMerge w:val="continue"/>
            <w:tcBorders>
              <w:left w:val="single" w:sz="4" w:space="0" w:color="00000A"/>
              <w:bottom w:val="single" w:sz="4" w:space="0" w:color="000001"/>
              <w:right w:val="single" w:sz="4" w:space="0" w:color="00000A"/>
              <w:insideH w:val="single" w:sz="4" w:space="0" w:color="000001"/>
              <w:insideV w:val="single" w:sz="4" w:space="0" w:color="00000A"/>
            </w:tcBorders>
            <w:shd w:fill="auto" w:val="clear"/>
            <w:tcMar>
              <w:left w:w="103" w:type="dxa"/>
            </w:tcMar>
            <w:vAlign w:val="center"/>
          </w:tcPr>
          <w:p>
            <w:pPr>
              <w:pStyle w:val="Normal"/>
              <w:shd w:val="clear" w:color="auto" w:fill="FFFFFF"/>
              <w:spacing w:lineRule="auto" w:line="240" w:before="0" w:after="0"/>
              <w:ind w:hanging="0"/>
              <w:jc w:val="center"/>
              <w:rPr>
                <w:b/>
                <w:b/>
                <w:bCs/>
                <w:szCs w:val="24"/>
              </w:rPr>
            </w:pPr>
            <w:r>
              <w:rPr>
                <w:b/>
                <w:bCs/>
                <w:szCs w:val="24"/>
              </w:rPr>
            </w:r>
          </w:p>
        </w:tc>
        <w:tc>
          <w:tcPr>
            <w:tcW w:w="129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hd w:val="clear" w:color="auto" w:fill="FFFFFF"/>
              <w:spacing w:lineRule="auto" w:line="240" w:before="0" w:after="0"/>
              <w:ind w:hanging="0"/>
              <w:jc w:val="center"/>
              <w:rPr>
                <w:b/>
                <w:b/>
                <w:bCs/>
                <w:szCs w:val="24"/>
              </w:rPr>
            </w:pPr>
            <w:r>
              <w:rPr>
                <w:b/>
                <w:bCs/>
                <w:szCs w:val="24"/>
              </w:rPr>
              <w:t>Прирост</w:t>
            </w:r>
          </w:p>
        </w:tc>
        <w:tc>
          <w:tcPr>
            <w:tcW w:w="99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hd w:val="clear" w:color="auto" w:fill="FFFFFF"/>
              <w:spacing w:lineRule="auto" w:line="240" w:before="0" w:after="0"/>
              <w:ind w:hanging="0"/>
              <w:jc w:val="center"/>
              <w:rPr>
                <w:b/>
                <w:b/>
                <w:bCs/>
                <w:szCs w:val="24"/>
              </w:rPr>
            </w:pPr>
            <w:r>
              <w:rPr>
                <w:b/>
                <w:bCs/>
                <w:szCs w:val="24"/>
              </w:rPr>
              <w:t>Итого</w:t>
            </w:r>
          </w:p>
        </w:tc>
        <w:tc>
          <w:tcPr>
            <w:tcW w:w="141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hd w:val="clear" w:color="auto" w:fill="FFFFFF"/>
              <w:spacing w:lineRule="auto" w:line="240" w:before="0" w:after="0"/>
              <w:ind w:hanging="0"/>
              <w:jc w:val="center"/>
              <w:rPr>
                <w:b/>
                <w:b/>
                <w:bCs/>
                <w:szCs w:val="24"/>
              </w:rPr>
            </w:pPr>
            <w:r>
              <w:rPr>
                <w:b/>
                <w:bCs/>
                <w:szCs w:val="24"/>
              </w:rPr>
              <w:t>Прирост</w:t>
            </w:r>
          </w:p>
        </w:tc>
        <w:tc>
          <w:tcPr>
            <w:tcW w:w="12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hd w:val="clear" w:color="auto" w:fill="FFFFFF"/>
              <w:spacing w:lineRule="auto" w:line="240" w:before="0" w:after="0"/>
              <w:ind w:hanging="0"/>
              <w:jc w:val="center"/>
              <w:rPr>
                <w:b/>
                <w:b/>
                <w:bCs/>
                <w:szCs w:val="24"/>
              </w:rPr>
            </w:pPr>
            <w:r>
              <w:rPr>
                <w:b/>
                <w:bCs/>
                <w:szCs w:val="24"/>
              </w:rPr>
              <w:t>Итого</w:t>
            </w:r>
          </w:p>
        </w:tc>
      </w:tr>
      <w:tr>
        <w:trPr>
          <w:trHeight w:val="276" w:hRule="atLeast"/>
        </w:trPr>
        <w:tc>
          <w:tcPr>
            <w:tcW w:w="962"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hd w:val="clear" w:color="auto" w:fill="FFFFFF"/>
              <w:spacing w:lineRule="auto" w:line="240" w:before="0" w:after="0"/>
              <w:ind w:hanging="0"/>
              <w:jc w:val="center"/>
              <w:rPr>
                <w:szCs w:val="24"/>
              </w:rPr>
            </w:pPr>
            <w:r>
              <w:rPr>
                <w:szCs w:val="24"/>
              </w:rPr>
              <w:t>1</w:t>
            </w:r>
          </w:p>
        </w:tc>
        <w:tc>
          <w:tcPr>
            <w:tcW w:w="245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hd w:val="clear" w:color="auto" w:fill="FFFFFF"/>
              <w:spacing w:lineRule="auto" w:line="240" w:before="0" w:after="0"/>
              <w:ind w:left="-62" w:hanging="0"/>
              <w:jc w:val="center"/>
              <w:rPr>
                <w:szCs w:val="24"/>
              </w:rPr>
            </w:pPr>
            <w:r>
              <w:rPr>
                <w:szCs w:val="24"/>
              </w:rPr>
              <w:t xml:space="preserve">Алексеевское МО </w:t>
            </w:r>
          </w:p>
        </w:tc>
        <w:tc>
          <w:tcPr>
            <w:tcW w:w="165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hd w:val="clear" w:color="auto" w:fill="FFFFFF"/>
              <w:spacing w:lineRule="auto" w:line="240" w:before="0" w:after="0"/>
              <w:ind w:hanging="0"/>
              <w:jc w:val="center"/>
              <w:rPr>
                <w:szCs w:val="24"/>
              </w:rPr>
            </w:pPr>
            <w:r>
              <w:rPr>
                <w:szCs w:val="24"/>
              </w:rPr>
              <w:t>2193</w:t>
            </w:r>
          </w:p>
        </w:tc>
        <w:tc>
          <w:tcPr>
            <w:tcW w:w="129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hd w:val="clear" w:color="auto" w:fill="FFFFFF"/>
              <w:spacing w:lineRule="auto" w:line="240" w:before="0" w:after="0"/>
              <w:ind w:hanging="0"/>
              <w:jc w:val="center"/>
              <w:rPr>
                <w:szCs w:val="24"/>
              </w:rPr>
            </w:pPr>
            <w:r>
              <w:rPr>
                <w:szCs w:val="24"/>
              </w:rPr>
              <w:t>-526</w:t>
            </w:r>
          </w:p>
        </w:tc>
        <w:tc>
          <w:tcPr>
            <w:tcW w:w="99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hd w:val="clear" w:color="auto" w:fill="FFFFFF"/>
              <w:spacing w:lineRule="auto" w:line="240" w:before="0" w:after="0"/>
              <w:ind w:hanging="0"/>
              <w:jc w:val="center"/>
              <w:rPr>
                <w:szCs w:val="24"/>
              </w:rPr>
            </w:pPr>
            <w:r>
              <w:rPr>
                <w:szCs w:val="24"/>
              </w:rPr>
              <w:t>1667</w:t>
            </w:r>
          </w:p>
        </w:tc>
        <w:tc>
          <w:tcPr>
            <w:tcW w:w="141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hd w:val="clear" w:color="auto" w:fill="FFFFFF"/>
              <w:spacing w:lineRule="auto" w:line="240" w:before="0" w:after="0"/>
              <w:ind w:hanging="0"/>
              <w:jc w:val="center"/>
              <w:rPr>
                <w:szCs w:val="24"/>
              </w:rPr>
            </w:pPr>
            <w:r>
              <w:rPr>
                <w:szCs w:val="24"/>
              </w:rPr>
              <w:t>-350</w:t>
            </w:r>
          </w:p>
        </w:tc>
        <w:tc>
          <w:tcPr>
            <w:tcW w:w="12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hd w:val="clear" w:color="auto" w:fill="FFFFFF"/>
              <w:spacing w:lineRule="auto" w:line="240" w:before="0" w:after="0"/>
              <w:ind w:hanging="0"/>
              <w:jc w:val="center"/>
              <w:rPr>
                <w:szCs w:val="24"/>
              </w:rPr>
            </w:pPr>
            <w:r>
              <w:rPr>
                <w:szCs w:val="24"/>
              </w:rPr>
              <w:t>1316</w:t>
            </w:r>
          </w:p>
        </w:tc>
      </w:tr>
    </w:tbl>
    <w:p>
      <w:pPr>
        <w:pStyle w:val="Style32"/>
        <w:spacing w:lineRule="auto" w:line="360"/>
        <w:rPr>
          <w:sz w:val="28"/>
          <w:szCs w:val="28"/>
        </w:rPr>
      </w:pPr>
      <w:r>
        <w:rPr>
          <w:sz w:val="28"/>
          <w:szCs w:val="28"/>
        </w:rPr>
        <w:t>Данные по численности населения за последние 3 года составляют:</w:t>
      </w:r>
    </w:p>
    <w:p>
      <w:pPr>
        <w:pStyle w:val="Style32"/>
        <w:numPr>
          <w:ilvl w:val="0"/>
          <w:numId w:val="8"/>
        </w:numPr>
        <w:spacing w:lineRule="auto" w:line="276"/>
        <w:rPr>
          <w:sz w:val="28"/>
          <w:szCs w:val="28"/>
        </w:rPr>
      </w:pPr>
      <w:r>
        <w:rPr>
          <w:sz w:val="28"/>
          <w:szCs w:val="28"/>
        </w:rPr>
        <w:t>2016 год - 2410 чел.</w:t>
      </w:r>
    </w:p>
    <w:p>
      <w:pPr>
        <w:pStyle w:val="Style32"/>
        <w:numPr>
          <w:ilvl w:val="0"/>
          <w:numId w:val="8"/>
        </w:numPr>
        <w:spacing w:lineRule="auto" w:line="276"/>
        <w:rPr>
          <w:sz w:val="28"/>
          <w:szCs w:val="28"/>
        </w:rPr>
      </w:pPr>
      <w:r>
        <w:rPr>
          <w:sz w:val="28"/>
          <w:szCs w:val="28"/>
        </w:rPr>
        <w:t>2017 год - 2271 чел.</w:t>
      </w:r>
    </w:p>
    <w:p>
      <w:pPr>
        <w:pStyle w:val="Style32"/>
        <w:numPr>
          <w:ilvl w:val="0"/>
          <w:numId w:val="8"/>
        </w:numPr>
        <w:spacing w:lineRule="auto" w:line="276"/>
        <w:rPr>
          <w:sz w:val="28"/>
          <w:szCs w:val="28"/>
        </w:rPr>
      </w:pPr>
      <w:r>
        <w:rPr>
          <w:sz w:val="28"/>
          <w:szCs w:val="28"/>
        </w:rPr>
        <w:t xml:space="preserve">2018 год - 2193 чел. </w:t>
      </w:r>
    </w:p>
    <w:p>
      <w:pPr>
        <w:pStyle w:val="Style32"/>
        <w:spacing w:lineRule="auto" w:line="360"/>
        <w:rPr>
          <w:sz w:val="28"/>
          <w:szCs w:val="28"/>
        </w:rPr>
      </w:pPr>
      <w:r>
        <w:rPr>
          <w:sz w:val="28"/>
          <w:szCs w:val="28"/>
        </w:rPr>
        <w:t xml:space="preserve">Отсюда следует, что средний процент снижения численности населения составляет 3%, ввиду низкой рождаемости, естественной смертности и оттока молодых специалистов. По предварительным подсчетам, численность населения на расчетный 2034 год, составит 1316 человек. </w:t>
      </w:r>
    </w:p>
    <w:p>
      <w:pPr>
        <w:pStyle w:val="Style32"/>
        <w:spacing w:lineRule="auto" w:line="360"/>
        <w:rPr>
          <w:sz w:val="28"/>
          <w:szCs w:val="28"/>
        </w:rPr>
      </w:pPr>
      <w:r>
        <w:rPr>
          <w:sz w:val="28"/>
          <w:szCs w:val="28"/>
        </w:rPr>
        <w:t>Перспективный расчетный баланс водопотребления на 2034 год представлен в таблицах 1.10. и 1.11.</w:t>
      </w:r>
    </w:p>
    <w:p>
      <w:pPr>
        <w:pStyle w:val="Style32"/>
        <w:spacing w:lineRule="auto" w:line="360" w:before="0" w:after="0"/>
        <w:jc w:val="right"/>
        <w:rPr>
          <w:sz w:val="28"/>
          <w:szCs w:val="28"/>
        </w:rPr>
      </w:pPr>
      <w:r>
        <w:rPr>
          <w:sz w:val="28"/>
          <w:szCs w:val="28"/>
        </w:rPr>
        <w:t>Табл. 1.10 - Перспективный расчетный баланс водопотребления на 2026 год</w:t>
      </w:r>
    </w:p>
    <w:tbl>
      <w:tblPr>
        <w:tblW w:w="9994" w:type="dxa"/>
        <w:jc w:val="left"/>
        <w:tblInd w:w="93"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top w:w="0" w:type="dxa"/>
          <w:left w:w="98" w:type="dxa"/>
          <w:bottom w:w="0" w:type="dxa"/>
          <w:right w:w="108" w:type="dxa"/>
        </w:tblCellMar>
        <w:tblLook w:val="04a0"/>
      </w:tblPr>
      <w:tblGrid>
        <w:gridCol w:w="1575"/>
        <w:gridCol w:w="1651"/>
        <w:gridCol w:w="849"/>
        <w:gridCol w:w="760"/>
        <w:gridCol w:w="1014"/>
        <w:gridCol w:w="958"/>
        <w:gridCol w:w="1146"/>
        <w:gridCol w:w="996"/>
        <w:gridCol w:w="1044"/>
      </w:tblGrid>
      <w:tr>
        <w:trPr>
          <w:trHeight w:val="300" w:hRule="atLeast"/>
        </w:trPr>
        <w:tc>
          <w:tcPr>
            <w:tcW w:w="1575"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before="0" w:after="0"/>
              <w:ind w:left="-93" w:right="-58" w:hanging="0"/>
              <w:jc w:val="center"/>
              <w:rPr>
                <w:b/>
                <w:b/>
              </w:rPr>
            </w:pPr>
            <w:r>
              <w:rPr>
                <w:b/>
              </w:rPr>
              <w:t>Потребитель</w:t>
            </w:r>
          </w:p>
        </w:tc>
        <w:tc>
          <w:tcPr>
            <w:tcW w:w="1651"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before="0" w:after="0"/>
              <w:ind w:hanging="0"/>
              <w:jc w:val="center"/>
              <w:rPr>
                <w:b/>
                <w:b/>
              </w:rPr>
            </w:pPr>
            <w:r>
              <w:rPr>
                <w:b/>
              </w:rPr>
              <w:t>Наименование  расхода</w:t>
            </w:r>
          </w:p>
        </w:tc>
        <w:tc>
          <w:tcPr>
            <w:tcW w:w="849"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before="0" w:after="0"/>
              <w:ind w:hanging="0"/>
              <w:jc w:val="center"/>
              <w:rPr>
                <w:b/>
                <w:b/>
              </w:rPr>
            </w:pPr>
            <w:r>
              <w:rPr>
                <w:b/>
              </w:rPr>
              <w:t>Ед-ца изме- ре- ния</w:t>
            </w:r>
          </w:p>
        </w:tc>
        <w:tc>
          <w:tcPr>
            <w:tcW w:w="760"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before="0" w:after="0"/>
              <w:ind w:left="-58" w:hanging="0"/>
              <w:jc w:val="center"/>
              <w:rPr>
                <w:b/>
                <w:b/>
              </w:rPr>
            </w:pPr>
            <w:r>
              <w:rPr>
                <w:b/>
              </w:rPr>
              <w:t>Кол-во</w:t>
            </w:r>
          </w:p>
        </w:tc>
        <w:tc>
          <w:tcPr>
            <w:tcW w:w="1014"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before="0" w:after="0"/>
              <w:ind w:hanging="0"/>
              <w:jc w:val="center"/>
              <w:rPr>
                <w:b/>
                <w:b/>
              </w:rPr>
            </w:pPr>
            <w:r>
              <w:rPr>
                <w:b/>
              </w:rPr>
              <w:t>Средне суточн. норма  на ед. изм.</w:t>
            </w:r>
          </w:p>
        </w:tc>
        <w:tc>
          <w:tcPr>
            <w:tcW w:w="4144" w:type="dxa"/>
            <w:gridSpan w:val="4"/>
            <w:tcBorders>
              <w:top w:val="single" w:sz="8" w:space="0" w:color="00000A"/>
              <w:bottom w:val="single" w:sz="4" w:space="0" w:color="00000A"/>
              <w:right w:val="single" w:sz="8" w:space="0" w:color="000001"/>
              <w:insideH w:val="single" w:sz="4" w:space="0" w:color="00000A"/>
              <w:insideV w:val="single" w:sz="8" w:space="0" w:color="000001"/>
            </w:tcBorders>
            <w:shd w:color="auto" w:fill="auto" w:val="clear"/>
            <w:vAlign w:val="center"/>
          </w:tcPr>
          <w:p>
            <w:pPr>
              <w:pStyle w:val="Normal"/>
              <w:spacing w:before="0" w:after="0"/>
              <w:ind w:hanging="0"/>
              <w:jc w:val="center"/>
              <w:rPr>
                <w:b/>
                <w:b/>
              </w:rPr>
            </w:pPr>
            <w:r>
              <w:rPr>
                <w:b/>
              </w:rPr>
              <w:t>Водопотребление</w:t>
            </w:r>
          </w:p>
        </w:tc>
      </w:tr>
      <w:tr>
        <w:trPr>
          <w:trHeight w:val="1098" w:hRule="atLeast"/>
        </w:trPr>
        <w:tc>
          <w:tcPr>
            <w:tcW w:w="1575"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before="0" w:after="0"/>
              <w:ind w:hanging="0"/>
              <w:jc w:val="center"/>
              <w:rPr>
                <w:b/>
                <w:b/>
              </w:rPr>
            </w:pPr>
            <w:r>
              <w:rPr>
                <w:b/>
              </w:rPr>
            </w:r>
          </w:p>
        </w:tc>
        <w:tc>
          <w:tcPr>
            <w:tcW w:w="1651"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before="0" w:after="0"/>
              <w:ind w:hanging="0"/>
              <w:jc w:val="center"/>
              <w:rPr>
                <w:b/>
                <w:b/>
              </w:rPr>
            </w:pPr>
            <w:r>
              <w:rPr>
                <w:b/>
              </w:rPr>
            </w:r>
          </w:p>
        </w:tc>
        <w:tc>
          <w:tcPr>
            <w:tcW w:w="849"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before="0" w:after="0"/>
              <w:ind w:hanging="0"/>
              <w:jc w:val="center"/>
              <w:rPr>
                <w:b/>
                <w:b/>
              </w:rPr>
            </w:pPr>
            <w:r>
              <w:rPr>
                <w:b/>
              </w:rPr>
            </w:r>
          </w:p>
        </w:tc>
        <w:tc>
          <w:tcPr>
            <w:tcW w:w="760"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before="0" w:after="0"/>
              <w:ind w:hanging="0"/>
              <w:jc w:val="center"/>
              <w:rPr>
                <w:b/>
                <w:b/>
              </w:rPr>
            </w:pPr>
            <w:r>
              <w:rPr>
                <w:b/>
              </w:rPr>
            </w:r>
          </w:p>
        </w:tc>
        <w:tc>
          <w:tcPr>
            <w:tcW w:w="1014" w:type="dxa"/>
            <w:vMerge w:val="continue"/>
            <w:tcBorders>
              <w:top w:val="single" w:sz="8" w:space="0" w:color="00000A"/>
              <w:left w:val="single" w:sz="8" w:space="0" w:color="00000A"/>
              <w:bottom w:val="single" w:sz="8" w:space="0" w:color="000001"/>
              <w:right w:val="single" w:sz="4" w:space="0" w:color="00000A"/>
              <w:insideH w:val="single" w:sz="8" w:space="0" w:color="000001"/>
              <w:insideV w:val="single" w:sz="4" w:space="0" w:color="00000A"/>
            </w:tcBorders>
            <w:shd w:fill="auto" w:val="clear"/>
            <w:tcMar>
              <w:left w:w="98" w:type="dxa"/>
            </w:tcMar>
            <w:vAlign w:val="center"/>
          </w:tcPr>
          <w:p>
            <w:pPr>
              <w:pStyle w:val="Normal"/>
              <w:spacing w:before="0" w:after="0"/>
              <w:ind w:hanging="0"/>
              <w:jc w:val="center"/>
              <w:rPr>
                <w:b/>
                <w:b/>
              </w:rPr>
            </w:pPr>
            <w:r>
              <w:rPr>
                <w:b/>
              </w:rPr>
            </w:r>
          </w:p>
        </w:tc>
        <w:tc>
          <w:tcPr>
            <w:tcW w:w="9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rPr>
            </w:pPr>
            <w:r>
              <w:rPr>
                <w:b/>
              </w:rPr>
              <w:t>Сред.</w:t>
            </w:r>
          </w:p>
          <w:p>
            <w:pPr>
              <w:pStyle w:val="Normal"/>
              <w:spacing w:before="0" w:after="0"/>
              <w:ind w:hanging="0"/>
              <w:jc w:val="center"/>
              <w:rPr>
                <w:b/>
                <w:b/>
              </w:rPr>
            </w:pPr>
            <w:r>
              <w:rPr>
                <w:b/>
              </w:rPr>
              <w:t>сут. м³/сут</w:t>
            </w:r>
          </w:p>
        </w:tc>
        <w:tc>
          <w:tcPr>
            <w:tcW w:w="11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rPr>
            </w:pPr>
            <w:r>
              <w:rPr>
                <w:b/>
              </w:rPr>
              <w:t>Годовое</w:t>
            </w:r>
          </w:p>
          <w:p>
            <w:pPr>
              <w:pStyle w:val="Normal"/>
              <w:spacing w:before="0" w:after="0"/>
              <w:ind w:hanging="0"/>
              <w:jc w:val="center"/>
              <w:rPr>
                <w:b/>
                <w:b/>
              </w:rPr>
            </w:pPr>
            <w:r>
              <w:rPr>
                <w:b/>
              </w:rPr>
              <w:t>т.м³/год</w:t>
            </w:r>
          </w:p>
          <w:p>
            <w:pPr>
              <w:pStyle w:val="Normal"/>
              <w:spacing w:before="0" w:after="0"/>
              <w:ind w:hanging="0"/>
              <w:jc w:val="center"/>
              <w:rPr>
                <w:b/>
                <w:b/>
              </w:rPr>
            </w:pPr>
            <w:r>
              <w:rPr>
                <w:b/>
              </w:rPr>
            </w:r>
          </w:p>
        </w:tc>
        <w:tc>
          <w:tcPr>
            <w:tcW w:w="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rPr>
            </w:pPr>
            <w:r>
              <w:rPr>
                <w:b/>
              </w:rPr>
              <w:t>Макс.</w:t>
            </w:r>
          </w:p>
          <w:p>
            <w:pPr>
              <w:pStyle w:val="Normal"/>
              <w:spacing w:before="0" w:after="0"/>
              <w:ind w:hanging="0"/>
              <w:jc w:val="center"/>
              <w:rPr>
                <w:b/>
                <w:b/>
              </w:rPr>
            </w:pPr>
            <w:r>
              <w:rPr>
                <w:b/>
              </w:rPr>
              <w:t>сут.</w:t>
            </w:r>
          </w:p>
          <w:p>
            <w:pPr>
              <w:pStyle w:val="Normal"/>
              <w:spacing w:before="0" w:after="0"/>
              <w:ind w:hanging="0"/>
              <w:jc w:val="center"/>
              <w:rPr>
                <w:b/>
                <w:b/>
              </w:rPr>
            </w:pPr>
            <w:r>
              <w:rPr>
                <w:b/>
              </w:rPr>
              <w:t>м³/сут</w:t>
            </w:r>
          </w:p>
        </w:tc>
        <w:tc>
          <w:tcPr>
            <w:tcW w:w="1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rPr>
            </w:pPr>
            <w:r>
              <w:rPr>
                <w:b/>
              </w:rPr>
              <w:t>Макс.</w:t>
            </w:r>
          </w:p>
          <w:p>
            <w:pPr>
              <w:pStyle w:val="Normal"/>
              <w:spacing w:before="0" w:after="0"/>
              <w:ind w:hanging="0"/>
              <w:jc w:val="center"/>
              <w:rPr>
                <w:b/>
                <w:b/>
              </w:rPr>
            </w:pPr>
            <w:r>
              <w:rPr>
                <w:b/>
              </w:rPr>
              <w:t>час.</w:t>
            </w:r>
          </w:p>
          <w:p>
            <w:pPr>
              <w:pStyle w:val="Normal"/>
              <w:spacing w:before="0" w:after="0"/>
              <w:ind w:hanging="0"/>
              <w:jc w:val="center"/>
              <w:rPr>
                <w:b/>
                <w:b/>
              </w:rPr>
            </w:pPr>
            <w:r>
              <w:rPr>
                <w:b/>
              </w:rPr>
              <w:t>м³/час</w:t>
            </w:r>
          </w:p>
        </w:tc>
      </w:tr>
      <w:tr>
        <w:trPr>
          <w:trHeight w:val="505" w:hRule="atLeast"/>
        </w:trPr>
        <w:tc>
          <w:tcPr>
            <w:tcW w:w="1575" w:type="dxa"/>
            <w:vMerge w:val="restart"/>
            <w:tcBorders>
              <w:left w:val="single" w:sz="8" w:space="0" w:color="00000A"/>
              <w:right w:val="single" w:sz="8" w:space="0" w:color="00000A"/>
              <w:insideV w:val="single" w:sz="8" w:space="0" w:color="00000A"/>
            </w:tcBorders>
            <w:shd w:color="auto" w:fill="auto" w:val="clear"/>
            <w:tcMar>
              <w:left w:w="98" w:type="dxa"/>
            </w:tcMar>
            <w:vAlign w:val="center"/>
          </w:tcPr>
          <w:p>
            <w:pPr>
              <w:pStyle w:val="Normal"/>
              <w:spacing w:before="0" w:after="0"/>
              <w:ind w:hanging="0"/>
              <w:jc w:val="center"/>
              <w:rPr>
                <w:b/>
                <w:b/>
              </w:rPr>
            </w:pPr>
            <w:r>
              <w:rPr>
                <w:b/>
              </w:rPr>
              <w:t>Расчётный срок 2026г.</w:t>
            </w:r>
          </w:p>
        </w:tc>
        <w:tc>
          <w:tcPr>
            <w:tcW w:w="1651"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left"/>
              <w:rPr/>
            </w:pPr>
            <w:r>
              <w:rPr/>
              <w:t>Хоз-питьевые нужды</w:t>
            </w:r>
          </w:p>
        </w:tc>
        <w:tc>
          <w:tcPr>
            <w:tcW w:w="84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чел</w:t>
            </w:r>
          </w:p>
        </w:tc>
        <w:tc>
          <w:tcPr>
            <w:tcW w:w="7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szCs w:val="24"/>
              </w:rPr>
              <w:t>1667</w:t>
            </w:r>
          </w:p>
        </w:tc>
        <w:tc>
          <w:tcPr>
            <w:tcW w:w="1014"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200</w:t>
            </w:r>
          </w:p>
        </w:tc>
        <w:tc>
          <w:tcPr>
            <w:tcW w:w="958"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333,4</w:t>
            </w:r>
          </w:p>
        </w:tc>
        <w:tc>
          <w:tcPr>
            <w:tcW w:w="114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121,69</w:t>
            </w:r>
          </w:p>
        </w:tc>
        <w:tc>
          <w:tcPr>
            <w:tcW w:w="99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400,08</w:t>
            </w:r>
          </w:p>
        </w:tc>
        <w:tc>
          <w:tcPr>
            <w:tcW w:w="1044"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16,67</w:t>
            </w:r>
          </w:p>
        </w:tc>
      </w:tr>
      <w:tr>
        <w:trPr>
          <w:trHeight w:val="357" w:hRule="atLeast"/>
        </w:trPr>
        <w:tc>
          <w:tcPr>
            <w:tcW w:w="1575" w:type="dxa"/>
            <w:vMerge w:val="continue"/>
            <w:tcBorders>
              <w:left w:val="single" w:sz="8" w:space="0" w:color="00000A"/>
              <w:right w:val="single" w:sz="8" w:space="0" w:color="00000A"/>
              <w:insideV w:val="single" w:sz="8" w:space="0" w:color="00000A"/>
            </w:tcBorders>
            <w:shd w:color="auto" w:fill="auto" w:val="clear"/>
            <w:tcMar>
              <w:left w:w="98" w:type="dxa"/>
            </w:tcMar>
            <w:vAlign w:val="center"/>
          </w:tcPr>
          <w:p>
            <w:pPr>
              <w:pStyle w:val="Normal"/>
              <w:spacing w:before="0" w:after="0"/>
              <w:ind w:hanging="0"/>
              <w:jc w:val="center"/>
              <w:rPr/>
            </w:pPr>
            <w:r>
              <w:rPr/>
            </w:r>
          </w:p>
        </w:tc>
        <w:tc>
          <w:tcPr>
            <w:tcW w:w="1651"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left"/>
              <w:rPr/>
            </w:pPr>
            <w:r>
              <w:rPr/>
              <w:t>Неучтённые расходы</w:t>
            </w:r>
          </w:p>
        </w:tc>
        <w:tc>
          <w:tcPr>
            <w:tcW w:w="84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w:t>
            </w:r>
          </w:p>
        </w:tc>
        <w:tc>
          <w:tcPr>
            <w:tcW w:w="7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10.0</w:t>
            </w:r>
          </w:p>
        </w:tc>
        <w:tc>
          <w:tcPr>
            <w:tcW w:w="1014"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w:t>
            </w:r>
          </w:p>
        </w:tc>
        <w:tc>
          <w:tcPr>
            <w:tcW w:w="958"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33,34</w:t>
            </w:r>
          </w:p>
        </w:tc>
        <w:tc>
          <w:tcPr>
            <w:tcW w:w="114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12,16</w:t>
            </w:r>
          </w:p>
        </w:tc>
        <w:tc>
          <w:tcPr>
            <w:tcW w:w="99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40</w:t>
            </w:r>
          </w:p>
        </w:tc>
        <w:tc>
          <w:tcPr>
            <w:tcW w:w="1044"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1,66</w:t>
            </w:r>
          </w:p>
        </w:tc>
      </w:tr>
      <w:tr>
        <w:trPr>
          <w:trHeight w:val="315" w:hRule="atLeast"/>
        </w:trPr>
        <w:tc>
          <w:tcPr>
            <w:tcW w:w="1575" w:type="dxa"/>
            <w:vMerge w:val="continue"/>
            <w:tcBorders>
              <w:left w:val="single" w:sz="8" w:space="0" w:color="00000A"/>
              <w:right w:val="single" w:sz="8" w:space="0" w:color="00000A"/>
              <w:insideV w:val="single" w:sz="8" w:space="0" w:color="00000A"/>
            </w:tcBorders>
            <w:shd w:color="auto" w:fill="auto" w:val="clear"/>
            <w:tcMar>
              <w:left w:w="98" w:type="dxa"/>
            </w:tcMar>
            <w:vAlign w:val="center"/>
          </w:tcPr>
          <w:p>
            <w:pPr>
              <w:pStyle w:val="Normal"/>
              <w:spacing w:before="0" w:after="0"/>
              <w:ind w:hanging="0"/>
              <w:jc w:val="center"/>
              <w:rPr/>
            </w:pPr>
            <w:r>
              <w:rPr/>
            </w:r>
          </w:p>
        </w:tc>
        <w:tc>
          <w:tcPr>
            <w:tcW w:w="1651"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left"/>
              <w:rPr/>
            </w:pPr>
            <w:r>
              <w:rPr/>
              <w:t>Полив</w:t>
            </w:r>
          </w:p>
        </w:tc>
        <w:tc>
          <w:tcPr>
            <w:tcW w:w="84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чел</w:t>
            </w:r>
          </w:p>
        </w:tc>
        <w:tc>
          <w:tcPr>
            <w:tcW w:w="7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1667</w:t>
            </w:r>
          </w:p>
        </w:tc>
        <w:tc>
          <w:tcPr>
            <w:tcW w:w="1014"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50</w:t>
            </w:r>
          </w:p>
        </w:tc>
        <w:tc>
          <w:tcPr>
            <w:tcW w:w="958"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83,35</w:t>
            </w:r>
          </w:p>
        </w:tc>
        <w:tc>
          <w:tcPr>
            <w:tcW w:w="114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30,42</w:t>
            </w:r>
          </w:p>
        </w:tc>
        <w:tc>
          <w:tcPr>
            <w:tcW w:w="99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100,02</w:t>
            </w:r>
          </w:p>
        </w:tc>
        <w:tc>
          <w:tcPr>
            <w:tcW w:w="1044"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4,16</w:t>
            </w:r>
          </w:p>
        </w:tc>
      </w:tr>
      <w:tr>
        <w:trPr>
          <w:trHeight w:val="218" w:hRule="atLeast"/>
        </w:trPr>
        <w:tc>
          <w:tcPr>
            <w:tcW w:w="1575" w:type="dxa"/>
            <w:vMerge w:val="continue"/>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vAlign w:val="center"/>
          </w:tcPr>
          <w:p>
            <w:pPr>
              <w:pStyle w:val="Normal"/>
              <w:spacing w:before="0" w:after="0"/>
              <w:ind w:hanging="0"/>
              <w:jc w:val="center"/>
              <w:rPr/>
            </w:pPr>
            <w:r>
              <w:rPr/>
            </w:r>
          </w:p>
        </w:tc>
        <w:tc>
          <w:tcPr>
            <w:tcW w:w="1651"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left"/>
              <w:rPr/>
            </w:pPr>
            <w:r>
              <w:rPr/>
              <w:t>Итого:</w:t>
            </w:r>
          </w:p>
        </w:tc>
        <w:tc>
          <w:tcPr>
            <w:tcW w:w="84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r>
          </w:p>
        </w:tc>
        <w:tc>
          <w:tcPr>
            <w:tcW w:w="7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r>
          </w:p>
        </w:tc>
        <w:tc>
          <w:tcPr>
            <w:tcW w:w="1014"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r>
          </w:p>
        </w:tc>
        <w:tc>
          <w:tcPr>
            <w:tcW w:w="958"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450,09</w:t>
            </w:r>
          </w:p>
        </w:tc>
        <w:tc>
          <w:tcPr>
            <w:tcW w:w="114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164,27</w:t>
            </w:r>
          </w:p>
        </w:tc>
        <w:tc>
          <w:tcPr>
            <w:tcW w:w="99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540,1</w:t>
            </w:r>
          </w:p>
        </w:tc>
        <w:tc>
          <w:tcPr>
            <w:tcW w:w="1044"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22,49</w:t>
            </w:r>
          </w:p>
        </w:tc>
      </w:tr>
    </w:tbl>
    <w:p>
      <w:pPr>
        <w:pStyle w:val="Style32"/>
        <w:spacing w:lineRule="auto" w:line="360"/>
        <w:jc w:val="right"/>
        <w:rPr>
          <w:sz w:val="28"/>
          <w:szCs w:val="28"/>
        </w:rPr>
      </w:pPr>
      <w:r>
        <w:rPr>
          <w:sz w:val="28"/>
          <w:szCs w:val="28"/>
        </w:rPr>
        <w:t>Табл. 1.11 - Перспективный расчетный баланс водопотребления на 2034 год</w:t>
      </w:r>
    </w:p>
    <w:tbl>
      <w:tblPr>
        <w:tblW w:w="9936" w:type="dxa"/>
        <w:jc w:val="left"/>
        <w:tblInd w:w="93"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top w:w="0" w:type="dxa"/>
          <w:left w:w="98" w:type="dxa"/>
          <w:bottom w:w="0" w:type="dxa"/>
          <w:right w:w="108" w:type="dxa"/>
        </w:tblCellMar>
        <w:tblLook w:val="04a0"/>
      </w:tblPr>
      <w:tblGrid>
        <w:gridCol w:w="1574"/>
        <w:gridCol w:w="1652"/>
        <w:gridCol w:w="849"/>
        <w:gridCol w:w="759"/>
        <w:gridCol w:w="1015"/>
        <w:gridCol w:w="958"/>
        <w:gridCol w:w="1087"/>
        <w:gridCol w:w="996"/>
        <w:gridCol w:w="1045"/>
      </w:tblGrid>
      <w:tr>
        <w:trPr>
          <w:trHeight w:val="315" w:hRule="atLeast"/>
        </w:trPr>
        <w:tc>
          <w:tcPr>
            <w:tcW w:w="1574"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before="0" w:after="0"/>
              <w:ind w:left="-93" w:right="-58" w:hanging="0"/>
              <w:jc w:val="center"/>
              <w:rPr>
                <w:b/>
                <w:b/>
              </w:rPr>
            </w:pPr>
            <w:r>
              <w:rPr>
                <w:b/>
              </w:rPr>
              <w:t>Потребитель</w:t>
            </w:r>
          </w:p>
        </w:tc>
        <w:tc>
          <w:tcPr>
            <w:tcW w:w="1652"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before="0" w:after="0"/>
              <w:ind w:hanging="0"/>
              <w:jc w:val="center"/>
              <w:rPr>
                <w:b/>
                <w:b/>
              </w:rPr>
            </w:pPr>
            <w:r>
              <w:rPr>
                <w:b/>
              </w:rPr>
              <w:t>Наименование  расхода</w:t>
            </w:r>
          </w:p>
        </w:tc>
        <w:tc>
          <w:tcPr>
            <w:tcW w:w="849"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before="0" w:after="0"/>
              <w:ind w:hanging="0"/>
              <w:jc w:val="center"/>
              <w:rPr>
                <w:b/>
                <w:b/>
              </w:rPr>
            </w:pPr>
            <w:r>
              <w:rPr>
                <w:b/>
              </w:rPr>
              <w:t>Ед-ца изме- ре- ния</w:t>
            </w:r>
          </w:p>
        </w:tc>
        <w:tc>
          <w:tcPr>
            <w:tcW w:w="759"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before="0" w:after="0"/>
              <w:ind w:hanging="0"/>
              <w:jc w:val="center"/>
              <w:rPr>
                <w:b/>
                <w:b/>
              </w:rPr>
            </w:pPr>
            <w:r>
              <w:rPr>
                <w:b/>
              </w:rPr>
              <w:t>Кол-во</w:t>
            </w:r>
          </w:p>
        </w:tc>
        <w:tc>
          <w:tcPr>
            <w:tcW w:w="1015"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before="0" w:after="0"/>
              <w:ind w:hanging="0"/>
              <w:jc w:val="center"/>
              <w:rPr>
                <w:b/>
                <w:b/>
              </w:rPr>
            </w:pPr>
            <w:r>
              <w:rPr>
                <w:b/>
              </w:rPr>
              <w:t>Средне суточн. норма  на ед. изм.</w:t>
            </w:r>
          </w:p>
        </w:tc>
        <w:tc>
          <w:tcPr>
            <w:tcW w:w="4086" w:type="dxa"/>
            <w:gridSpan w:val="4"/>
            <w:tcBorders>
              <w:top w:val="single" w:sz="8" w:space="0" w:color="00000A"/>
              <w:bottom w:val="single" w:sz="4" w:space="0" w:color="00000A"/>
              <w:right w:val="single" w:sz="8" w:space="0" w:color="000001"/>
              <w:insideH w:val="single" w:sz="4" w:space="0" w:color="00000A"/>
              <w:insideV w:val="single" w:sz="8" w:space="0" w:color="000001"/>
            </w:tcBorders>
            <w:shd w:color="auto" w:fill="auto" w:val="clear"/>
            <w:vAlign w:val="center"/>
          </w:tcPr>
          <w:p>
            <w:pPr>
              <w:pStyle w:val="Normal"/>
              <w:spacing w:before="0" w:after="0"/>
              <w:ind w:hanging="0"/>
              <w:jc w:val="center"/>
              <w:rPr>
                <w:b/>
                <w:b/>
              </w:rPr>
            </w:pPr>
            <w:r>
              <w:rPr>
                <w:b/>
              </w:rPr>
              <w:t>Водопотребление</w:t>
            </w:r>
          </w:p>
        </w:tc>
      </w:tr>
      <w:tr>
        <w:trPr>
          <w:trHeight w:val="1166" w:hRule="atLeast"/>
        </w:trPr>
        <w:tc>
          <w:tcPr>
            <w:tcW w:w="1574"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before="0" w:after="0"/>
              <w:ind w:hanging="0"/>
              <w:jc w:val="center"/>
              <w:rPr>
                <w:b/>
                <w:b/>
              </w:rPr>
            </w:pPr>
            <w:r>
              <w:rPr>
                <w:b/>
              </w:rPr>
            </w:r>
          </w:p>
        </w:tc>
        <w:tc>
          <w:tcPr>
            <w:tcW w:w="1652"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before="0" w:after="0"/>
              <w:ind w:hanging="0"/>
              <w:jc w:val="center"/>
              <w:rPr>
                <w:b/>
                <w:b/>
              </w:rPr>
            </w:pPr>
            <w:r>
              <w:rPr>
                <w:b/>
              </w:rPr>
            </w:r>
          </w:p>
        </w:tc>
        <w:tc>
          <w:tcPr>
            <w:tcW w:w="849"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before="0" w:after="0"/>
              <w:ind w:hanging="0"/>
              <w:jc w:val="center"/>
              <w:rPr>
                <w:b/>
                <w:b/>
              </w:rPr>
            </w:pPr>
            <w:r>
              <w:rPr>
                <w:b/>
              </w:rPr>
            </w:r>
          </w:p>
        </w:tc>
        <w:tc>
          <w:tcPr>
            <w:tcW w:w="759"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before="0" w:after="0"/>
              <w:ind w:hanging="0"/>
              <w:jc w:val="center"/>
              <w:rPr>
                <w:b/>
                <w:b/>
              </w:rPr>
            </w:pPr>
            <w:r>
              <w:rPr>
                <w:b/>
              </w:rPr>
            </w:r>
          </w:p>
        </w:tc>
        <w:tc>
          <w:tcPr>
            <w:tcW w:w="1015" w:type="dxa"/>
            <w:vMerge w:val="continue"/>
            <w:tcBorders>
              <w:top w:val="single" w:sz="8" w:space="0" w:color="00000A"/>
              <w:left w:val="single" w:sz="8" w:space="0" w:color="00000A"/>
              <w:bottom w:val="single" w:sz="8" w:space="0" w:color="000001"/>
              <w:right w:val="single" w:sz="4" w:space="0" w:color="00000A"/>
              <w:insideH w:val="single" w:sz="8" w:space="0" w:color="000001"/>
              <w:insideV w:val="single" w:sz="4" w:space="0" w:color="00000A"/>
            </w:tcBorders>
            <w:shd w:fill="auto" w:val="clear"/>
            <w:tcMar>
              <w:left w:w="98" w:type="dxa"/>
            </w:tcMar>
            <w:vAlign w:val="center"/>
          </w:tcPr>
          <w:p>
            <w:pPr>
              <w:pStyle w:val="Normal"/>
              <w:spacing w:before="0" w:after="0"/>
              <w:ind w:hanging="0"/>
              <w:jc w:val="center"/>
              <w:rPr>
                <w:b/>
                <w:b/>
              </w:rPr>
            </w:pPr>
            <w:r>
              <w:rPr>
                <w:b/>
              </w:rPr>
            </w:r>
          </w:p>
        </w:tc>
        <w:tc>
          <w:tcPr>
            <w:tcW w:w="9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rPr>
            </w:pPr>
            <w:r>
              <w:rPr>
                <w:b/>
              </w:rPr>
              <w:t>Сред.</w:t>
            </w:r>
          </w:p>
          <w:p>
            <w:pPr>
              <w:pStyle w:val="Normal"/>
              <w:spacing w:before="0" w:after="0"/>
              <w:ind w:hanging="0"/>
              <w:jc w:val="center"/>
              <w:rPr>
                <w:b/>
                <w:b/>
              </w:rPr>
            </w:pPr>
            <w:r>
              <w:rPr>
                <w:b/>
              </w:rPr>
              <w:t>сут. м³/сут</w:t>
            </w:r>
          </w:p>
        </w:tc>
        <w:tc>
          <w:tcPr>
            <w:tcW w:w="10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rPr>
            </w:pPr>
            <w:r>
              <w:rPr>
                <w:b/>
              </w:rPr>
              <w:t>Годовое</w:t>
            </w:r>
          </w:p>
          <w:p>
            <w:pPr>
              <w:pStyle w:val="Normal"/>
              <w:spacing w:before="0" w:after="0"/>
              <w:ind w:hanging="0"/>
              <w:jc w:val="center"/>
              <w:rPr>
                <w:b/>
                <w:b/>
              </w:rPr>
            </w:pPr>
            <w:r>
              <w:rPr>
                <w:b/>
              </w:rPr>
              <w:t>т.м³/год</w:t>
            </w:r>
          </w:p>
          <w:p>
            <w:pPr>
              <w:pStyle w:val="Normal"/>
              <w:spacing w:before="0" w:after="0"/>
              <w:ind w:hanging="0"/>
              <w:jc w:val="center"/>
              <w:rPr>
                <w:b/>
                <w:b/>
              </w:rPr>
            </w:pPr>
            <w:r>
              <w:rPr>
                <w:b/>
              </w:rPr>
            </w:r>
          </w:p>
        </w:tc>
        <w:tc>
          <w:tcPr>
            <w:tcW w:w="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rPr>
            </w:pPr>
            <w:r>
              <w:rPr>
                <w:b/>
              </w:rPr>
              <w:t>Макс.</w:t>
            </w:r>
          </w:p>
          <w:p>
            <w:pPr>
              <w:pStyle w:val="Normal"/>
              <w:spacing w:before="0" w:after="0"/>
              <w:ind w:hanging="0"/>
              <w:jc w:val="center"/>
              <w:rPr>
                <w:b/>
                <w:b/>
              </w:rPr>
            </w:pPr>
            <w:r>
              <w:rPr>
                <w:b/>
              </w:rPr>
              <w:t>сут.</w:t>
            </w:r>
          </w:p>
          <w:p>
            <w:pPr>
              <w:pStyle w:val="Normal"/>
              <w:spacing w:before="0" w:after="0"/>
              <w:ind w:hanging="0"/>
              <w:jc w:val="center"/>
              <w:rPr>
                <w:b/>
                <w:b/>
              </w:rPr>
            </w:pPr>
            <w:r>
              <w:rPr>
                <w:b/>
              </w:rPr>
              <w:t>м³/сут</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rPr>
            </w:pPr>
            <w:r>
              <w:rPr>
                <w:b/>
              </w:rPr>
              <w:t>Макс.</w:t>
            </w:r>
          </w:p>
          <w:p>
            <w:pPr>
              <w:pStyle w:val="Normal"/>
              <w:spacing w:before="0" w:after="0"/>
              <w:ind w:hanging="0"/>
              <w:jc w:val="center"/>
              <w:rPr>
                <w:b/>
                <w:b/>
              </w:rPr>
            </w:pPr>
            <w:r>
              <w:rPr>
                <w:b/>
              </w:rPr>
              <w:t>час.</w:t>
            </w:r>
          </w:p>
          <w:p>
            <w:pPr>
              <w:pStyle w:val="Normal"/>
              <w:spacing w:before="0" w:after="0"/>
              <w:ind w:hanging="0"/>
              <w:jc w:val="center"/>
              <w:rPr>
                <w:b/>
                <w:b/>
              </w:rPr>
            </w:pPr>
            <w:r>
              <w:rPr>
                <w:b/>
              </w:rPr>
              <w:t>м³/час</w:t>
            </w:r>
          </w:p>
        </w:tc>
      </w:tr>
      <w:tr>
        <w:trPr>
          <w:trHeight w:val="469" w:hRule="atLeast"/>
        </w:trPr>
        <w:tc>
          <w:tcPr>
            <w:tcW w:w="1574" w:type="dxa"/>
            <w:vMerge w:val="restart"/>
            <w:tcBorders>
              <w:left w:val="single" w:sz="8" w:space="0" w:color="00000A"/>
              <w:right w:val="single" w:sz="8" w:space="0" w:color="00000A"/>
              <w:insideV w:val="single" w:sz="8" w:space="0" w:color="00000A"/>
            </w:tcBorders>
            <w:shd w:color="auto" w:fill="auto" w:val="clear"/>
            <w:tcMar>
              <w:left w:w="98" w:type="dxa"/>
            </w:tcMar>
            <w:vAlign w:val="center"/>
          </w:tcPr>
          <w:p>
            <w:pPr>
              <w:pStyle w:val="Normal"/>
              <w:spacing w:before="0" w:after="0"/>
              <w:ind w:hanging="0"/>
              <w:jc w:val="center"/>
              <w:rPr>
                <w:b/>
                <w:b/>
              </w:rPr>
            </w:pPr>
            <w:r>
              <w:rPr>
                <w:b/>
              </w:rPr>
              <w:t>Расчётный срок 2034г.</w:t>
            </w:r>
          </w:p>
        </w:tc>
        <w:tc>
          <w:tcPr>
            <w:tcW w:w="165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left"/>
              <w:rPr/>
            </w:pPr>
            <w:r>
              <w:rPr/>
              <w:t>Хоз-питьевые нужды</w:t>
            </w:r>
          </w:p>
        </w:tc>
        <w:tc>
          <w:tcPr>
            <w:tcW w:w="84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чел</w:t>
            </w:r>
          </w:p>
        </w:tc>
        <w:tc>
          <w:tcPr>
            <w:tcW w:w="7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szCs w:val="24"/>
              </w:rPr>
              <w:t>1316</w:t>
            </w:r>
          </w:p>
        </w:tc>
        <w:tc>
          <w:tcPr>
            <w:tcW w:w="10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200</w:t>
            </w:r>
          </w:p>
        </w:tc>
        <w:tc>
          <w:tcPr>
            <w:tcW w:w="958"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263,2</w:t>
            </w:r>
          </w:p>
        </w:tc>
        <w:tc>
          <w:tcPr>
            <w:tcW w:w="1087"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96,06</w:t>
            </w:r>
          </w:p>
        </w:tc>
        <w:tc>
          <w:tcPr>
            <w:tcW w:w="99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315,84</w:t>
            </w:r>
          </w:p>
        </w:tc>
        <w:tc>
          <w:tcPr>
            <w:tcW w:w="104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13,16</w:t>
            </w:r>
          </w:p>
        </w:tc>
      </w:tr>
      <w:tr>
        <w:trPr>
          <w:trHeight w:val="379" w:hRule="atLeast"/>
        </w:trPr>
        <w:tc>
          <w:tcPr>
            <w:tcW w:w="1574" w:type="dxa"/>
            <w:vMerge w:val="continue"/>
            <w:tcBorders>
              <w:left w:val="single" w:sz="8" w:space="0" w:color="00000A"/>
              <w:right w:val="single" w:sz="8" w:space="0" w:color="00000A"/>
              <w:insideV w:val="single" w:sz="8" w:space="0" w:color="00000A"/>
            </w:tcBorders>
            <w:shd w:color="auto" w:fill="auto" w:val="clear"/>
            <w:tcMar>
              <w:left w:w="98" w:type="dxa"/>
            </w:tcMar>
            <w:vAlign w:val="center"/>
          </w:tcPr>
          <w:p>
            <w:pPr>
              <w:pStyle w:val="Normal"/>
              <w:spacing w:before="0" w:after="0"/>
              <w:ind w:hanging="0"/>
              <w:jc w:val="center"/>
              <w:rPr/>
            </w:pPr>
            <w:r>
              <w:rPr/>
            </w:r>
          </w:p>
        </w:tc>
        <w:tc>
          <w:tcPr>
            <w:tcW w:w="165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ind w:hanging="0"/>
              <w:jc w:val="left"/>
              <w:rPr/>
            </w:pPr>
            <w:r>
              <w:rPr/>
              <w:t>Неучтённые расходы</w:t>
            </w:r>
          </w:p>
        </w:tc>
        <w:tc>
          <w:tcPr>
            <w:tcW w:w="84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w:t>
            </w:r>
          </w:p>
        </w:tc>
        <w:tc>
          <w:tcPr>
            <w:tcW w:w="7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10.0</w:t>
            </w:r>
          </w:p>
        </w:tc>
        <w:tc>
          <w:tcPr>
            <w:tcW w:w="10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w:t>
            </w:r>
          </w:p>
        </w:tc>
        <w:tc>
          <w:tcPr>
            <w:tcW w:w="958"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26,32</w:t>
            </w:r>
          </w:p>
        </w:tc>
        <w:tc>
          <w:tcPr>
            <w:tcW w:w="1087"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9,6</w:t>
            </w:r>
          </w:p>
        </w:tc>
        <w:tc>
          <w:tcPr>
            <w:tcW w:w="99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31,58</w:t>
            </w:r>
          </w:p>
        </w:tc>
        <w:tc>
          <w:tcPr>
            <w:tcW w:w="104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1,31</w:t>
            </w:r>
          </w:p>
        </w:tc>
      </w:tr>
      <w:tr>
        <w:trPr>
          <w:trHeight w:val="115" w:hRule="atLeast"/>
        </w:trPr>
        <w:tc>
          <w:tcPr>
            <w:tcW w:w="1574" w:type="dxa"/>
            <w:vMerge w:val="continue"/>
            <w:tcBorders>
              <w:left w:val="single" w:sz="8" w:space="0" w:color="00000A"/>
              <w:right w:val="single" w:sz="8" w:space="0" w:color="00000A"/>
              <w:insideV w:val="single" w:sz="8" w:space="0" w:color="00000A"/>
            </w:tcBorders>
            <w:shd w:color="auto" w:fill="auto" w:val="clear"/>
            <w:tcMar>
              <w:left w:w="98" w:type="dxa"/>
            </w:tcMar>
            <w:vAlign w:val="center"/>
          </w:tcPr>
          <w:p>
            <w:pPr>
              <w:pStyle w:val="Normal"/>
              <w:spacing w:before="0" w:after="0"/>
              <w:ind w:hanging="0"/>
              <w:jc w:val="center"/>
              <w:rPr/>
            </w:pPr>
            <w:r>
              <w:rPr/>
            </w:r>
          </w:p>
        </w:tc>
        <w:tc>
          <w:tcPr>
            <w:tcW w:w="165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left"/>
              <w:rPr/>
            </w:pPr>
            <w:r>
              <w:rPr/>
              <w:t>Полив</w:t>
            </w:r>
          </w:p>
        </w:tc>
        <w:tc>
          <w:tcPr>
            <w:tcW w:w="84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чел</w:t>
            </w:r>
          </w:p>
        </w:tc>
        <w:tc>
          <w:tcPr>
            <w:tcW w:w="7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szCs w:val="24"/>
              </w:rPr>
              <w:t>1316</w:t>
            </w:r>
          </w:p>
        </w:tc>
        <w:tc>
          <w:tcPr>
            <w:tcW w:w="10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50</w:t>
            </w:r>
          </w:p>
        </w:tc>
        <w:tc>
          <w:tcPr>
            <w:tcW w:w="958"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65,8</w:t>
            </w:r>
          </w:p>
        </w:tc>
        <w:tc>
          <w:tcPr>
            <w:tcW w:w="1087"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24,01</w:t>
            </w:r>
          </w:p>
        </w:tc>
        <w:tc>
          <w:tcPr>
            <w:tcW w:w="99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78,96</w:t>
            </w:r>
          </w:p>
        </w:tc>
        <w:tc>
          <w:tcPr>
            <w:tcW w:w="104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3,29</w:t>
            </w:r>
          </w:p>
        </w:tc>
      </w:tr>
      <w:tr>
        <w:trPr>
          <w:trHeight w:val="60" w:hRule="atLeast"/>
        </w:trPr>
        <w:tc>
          <w:tcPr>
            <w:tcW w:w="1574" w:type="dxa"/>
            <w:vMerge w:val="continue"/>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vAlign w:val="center"/>
          </w:tcPr>
          <w:p>
            <w:pPr>
              <w:pStyle w:val="Normal"/>
              <w:spacing w:before="0" w:after="0"/>
              <w:ind w:hanging="0"/>
              <w:jc w:val="center"/>
              <w:rPr/>
            </w:pPr>
            <w:r>
              <w:rPr/>
            </w:r>
          </w:p>
        </w:tc>
        <w:tc>
          <w:tcPr>
            <w:tcW w:w="165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left"/>
              <w:rPr/>
            </w:pPr>
            <w:r>
              <w:rPr/>
              <w:t>Итого:</w:t>
            </w:r>
          </w:p>
        </w:tc>
        <w:tc>
          <w:tcPr>
            <w:tcW w:w="84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r>
          </w:p>
        </w:tc>
        <w:tc>
          <w:tcPr>
            <w:tcW w:w="7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r>
          </w:p>
        </w:tc>
        <w:tc>
          <w:tcPr>
            <w:tcW w:w="10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r>
          </w:p>
        </w:tc>
        <w:tc>
          <w:tcPr>
            <w:tcW w:w="958"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355,32</w:t>
            </w:r>
          </w:p>
        </w:tc>
        <w:tc>
          <w:tcPr>
            <w:tcW w:w="1087"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129,67</w:t>
            </w:r>
          </w:p>
        </w:tc>
        <w:tc>
          <w:tcPr>
            <w:tcW w:w="99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426,38</w:t>
            </w:r>
          </w:p>
        </w:tc>
        <w:tc>
          <w:tcPr>
            <w:tcW w:w="104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ind w:hanging="0"/>
              <w:jc w:val="center"/>
              <w:rPr/>
            </w:pPr>
            <w:r>
              <w:rPr/>
              <w:t>17,76</w:t>
            </w:r>
          </w:p>
        </w:tc>
      </w:tr>
    </w:tbl>
    <w:p>
      <w:pPr>
        <w:pStyle w:val="Style32"/>
        <w:spacing w:lineRule="auto" w:line="360" w:before="0" w:after="0"/>
        <w:jc w:val="right"/>
        <w:rPr>
          <w:sz w:val="28"/>
          <w:szCs w:val="28"/>
        </w:rPr>
      </w:pPr>
      <w:r>
        <w:rPr>
          <w:sz w:val="28"/>
          <w:szCs w:val="28"/>
        </w:rPr>
      </w:r>
    </w:p>
    <w:p>
      <w:pPr>
        <w:pStyle w:val="2"/>
        <w:numPr>
          <w:ilvl w:val="2"/>
          <w:numId w:val="2"/>
        </w:numPr>
        <w:spacing w:lineRule="auto" w:line="360" w:before="0" w:after="200"/>
        <w:ind w:left="0" w:firstLine="567"/>
        <w:rPr>
          <w:sz w:val="28"/>
          <w:szCs w:val="28"/>
        </w:rPr>
      </w:pPr>
      <w:bookmarkStart w:id="75" w:name="_Toc381715503"/>
      <w:bookmarkStart w:id="76" w:name="_Toc380482143"/>
      <w:bookmarkEnd w:id="73"/>
      <w:bookmarkEnd w:id="74"/>
      <w:r>
        <w:rPr>
          <w:sz w:val="28"/>
          <w:szCs w:val="28"/>
        </w:rPr>
        <w:t>Сведения о фактическом и ожидаемом потреблении воды (годовое, среднесуточное, максимальное суточное)</w:t>
      </w:r>
      <w:bookmarkEnd w:id="75"/>
      <w:bookmarkEnd w:id="76"/>
      <w:r>
        <w:rPr>
          <w:sz w:val="28"/>
          <w:szCs w:val="28"/>
        </w:rPr>
        <w:t>.</w:t>
      </w:r>
    </w:p>
    <w:p>
      <w:pPr>
        <w:pStyle w:val="Normal"/>
        <w:spacing w:lineRule="auto" w:line="360" w:before="0" w:after="0"/>
        <w:rPr>
          <w:sz w:val="28"/>
          <w:szCs w:val="28"/>
        </w:rPr>
      </w:pPr>
      <w:r>
        <w:rPr>
          <w:sz w:val="28"/>
          <w:szCs w:val="28"/>
        </w:rPr>
        <w:t>Расчётное потребление воды в 2034 году составит 129,67 тыс. м³/год, в средние сутки 355,32 м³/сут, в сутки максимального водоразбора 426,38 м³/сут.</w:t>
      </w:r>
    </w:p>
    <w:p>
      <w:pPr>
        <w:pStyle w:val="ListParagraph"/>
        <w:spacing w:lineRule="auto" w:line="360" w:before="0" w:after="0"/>
        <w:ind w:left="0" w:firstLine="567"/>
        <w:jc w:val="both"/>
        <w:rPr>
          <w:rFonts w:ascii="Times New Roman" w:hAnsi="Times New Roman"/>
          <w:sz w:val="28"/>
          <w:szCs w:val="28"/>
        </w:rPr>
      </w:pPr>
      <w:r>
        <w:rPr>
          <w:rFonts w:ascii="Times New Roman" w:hAnsi="Times New Roman"/>
          <w:sz w:val="28"/>
          <w:szCs w:val="28"/>
        </w:rPr>
        <w:t xml:space="preserve">Планируемое фактическое потребление воды, в Алексевском муниципальном образовании, составляет 90354 м³. </w:t>
      </w:r>
      <w:bookmarkStart w:id="77" w:name="_Toc381715504"/>
      <w:bookmarkStart w:id="78" w:name="_Toc380482144"/>
      <w:r>
        <w:rPr>
          <w:rFonts w:ascii="Times New Roman" w:hAnsi="Times New Roman"/>
          <w:sz w:val="28"/>
          <w:szCs w:val="28"/>
        </w:rPr>
        <w:t xml:space="preserve">На 2018 год потребляемое количество воды составило 93585 м³. </w:t>
      </w:r>
    </w:p>
    <w:p>
      <w:pPr>
        <w:pStyle w:val="ListParagraph"/>
        <w:numPr>
          <w:ilvl w:val="2"/>
          <w:numId w:val="2"/>
        </w:numPr>
        <w:spacing w:lineRule="auto" w:line="360" w:before="120" w:after="240"/>
        <w:ind w:left="1355" w:hanging="788"/>
        <w:rPr>
          <w:sz w:val="28"/>
          <w:szCs w:val="28"/>
        </w:rPr>
      </w:pPr>
      <w:r>
        <w:rPr>
          <w:rFonts w:ascii="Times New Roman" w:hAnsi="Times New Roman"/>
          <w:b/>
          <w:sz w:val="28"/>
          <w:szCs w:val="28"/>
        </w:rPr>
        <w:t>Описание территориальной структуры потребления воды</w:t>
      </w:r>
      <w:bookmarkEnd w:id="77"/>
      <w:bookmarkEnd w:id="78"/>
      <w:r>
        <w:rPr>
          <w:rFonts w:ascii="Times New Roman" w:hAnsi="Times New Roman"/>
          <w:b/>
          <w:sz w:val="28"/>
          <w:szCs w:val="28"/>
        </w:rPr>
        <w:t>.</w:t>
      </w:r>
      <w:r>
        <w:rPr>
          <w:sz w:val="28"/>
          <w:szCs w:val="28"/>
        </w:rPr>
        <w:t xml:space="preserve">  </w:t>
      </w:r>
    </w:p>
    <w:p>
      <w:pPr>
        <w:pStyle w:val="ListParagraph"/>
        <w:spacing w:lineRule="auto" w:line="360" w:before="0" w:after="0"/>
        <w:ind w:left="0" w:firstLine="709"/>
        <w:jc w:val="both"/>
        <w:rPr>
          <w:rFonts w:ascii="Times New Roman" w:hAnsi="Times New Roman"/>
          <w:sz w:val="28"/>
          <w:szCs w:val="28"/>
        </w:rPr>
      </w:pPr>
      <w:r>
        <w:rPr>
          <w:rFonts w:ascii="Times New Roman" w:hAnsi="Times New Roman"/>
          <w:sz w:val="28"/>
          <w:szCs w:val="28"/>
        </w:rPr>
        <w:t>В п. Воронежский, а также в д. Алексеевка, централизованного водоснабжения нет. Население снабжается водой за счет водоразборных колонок общего пользования, а также привозной водой.</w:t>
      </w:r>
    </w:p>
    <w:p>
      <w:pPr>
        <w:pStyle w:val="ListParagraph"/>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Централизованное водоснабжение представлено только в административном центре п. Алексеевск и представляет развитую сеть линейных объектов от источника водозабора до потребителей. </w:t>
      </w:r>
    </w:p>
    <w:p>
      <w:pPr>
        <w:pStyle w:val="2"/>
        <w:numPr>
          <w:ilvl w:val="2"/>
          <w:numId w:val="2"/>
        </w:numPr>
        <w:spacing w:lineRule="auto" w:line="360" w:before="120" w:after="240"/>
        <w:ind w:left="0" w:firstLine="567"/>
        <w:rPr>
          <w:rStyle w:val="FontStyle158"/>
          <w:rFonts w:eastAsia="Calibri"/>
          <w:sz w:val="28"/>
          <w:szCs w:val="24"/>
          <w:lang w:eastAsia="en-US"/>
        </w:rPr>
      </w:pPr>
      <w:bookmarkStart w:id="79" w:name="_Toc381715505"/>
      <w:bookmarkStart w:id="80" w:name="_Toc380482145"/>
      <w:bookmarkEnd w:id="79"/>
      <w:bookmarkEnd w:id="80"/>
      <w:r>
        <w:rPr>
          <w:rStyle w:val="FontStyle158"/>
          <w:rFonts w:eastAsia="Calibri"/>
          <w:sz w:val="28"/>
          <w:szCs w:val="24"/>
          <w:lang w:eastAsia="en-US"/>
        </w:rPr>
        <w:t>Прогноз распределения расходов воды на водоснабжение, по типам абонентов исходя из расчётных расходов воды с учетом данных о перспективном потреблении воды абонентами</w:t>
      </w:r>
    </w:p>
    <w:p>
      <w:pPr>
        <w:pStyle w:val="Normal"/>
        <w:spacing w:lineRule="auto" w:line="360" w:before="0" w:after="0"/>
        <w:rPr>
          <w:sz w:val="28"/>
          <w:lang w:eastAsia="zh-CN"/>
        </w:rPr>
      </w:pPr>
      <w:r>
        <w:rPr>
          <w:sz w:val="28"/>
          <w:lang w:eastAsia="zh-CN"/>
        </w:rPr>
        <w:t>Распределение расходов воды на 2034 год, исходя из расчетных расходов, с учетом данных о перспективном потреблении, указаны в таблице 1.12.</w:t>
      </w:r>
    </w:p>
    <w:p>
      <w:pPr>
        <w:pStyle w:val="Normal"/>
        <w:spacing w:lineRule="auto" w:line="360" w:before="0" w:after="0"/>
        <w:jc w:val="right"/>
        <w:rPr>
          <w:sz w:val="28"/>
          <w:lang w:eastAsia="zh-CN"/>
        </w:rPr>
      </w:pPr>
      <w:r>
        <w:rPr>
          <w:sz w:val="28"/>
          <w:lang w:eastAsia="zh-CN"/>
        </w:rPr>
        <w:t>Табл. 1.12 - потребление воды по группам абонентов на расчетный 2034 г.</w:t>
      </w:r>
    </w:p>
    <w:tbl>
      <w:tblPr>
        <w:tblStyle w:val="ae"/>
        <w:tblW w:w="10140" w:type="dxa"/>
        <w:jc w:val="center"/>
        <w:tblInd w:w="0" w:type="dxa"/>
        <w:tblCellMar>
          <w:top w:w="0" w:type="dxa"/>
          <w:left w:w="108" w:type="dxa"/>
          <w:bottom w:w="0" w:type="dxa"/>
          <w:right w:w="108" w:type="dxa"/>
        </w:tblCellMar>
        <w:tblLook w:val="04a0"/>
      </w:tblPr>
      <w:tblGrid>
        <w:gridCol w:w="802"/>
        <w:gridCol w:w="2190"/>
        <w:gridCol w:w="1924"/>
        <w:gridCol w:w="1662"/>
        <w:gridCol w:w="1803"/>
        <w:gridCol w:w="1758"/>
      </w:tblGrid>
      <w:tr>
        <w:trPr/>
        <w:tc>
          <w:tcPr>
            <w:tcW w:w="802" w:type="dxa"/>
            <w:vMerge w:val="restart"/>
            <w:tcBorders/>
            <w:shd w:fill="auto" w:val="clear"/>
            <w:tcMar>
              <w:left w:w="108" w:type="dxa"/>
            </w:tcMar>
            <w:vAlign w:val="center"/>
          </w:tcPr>
          <w:p>
            <w:pPr>
              <w:pStyle w:val="Normal"/>
              <w:spacing w:before="0" w:after="0"/>
              <w:ind w:hanging="0"/>
              <w:jc w:val="center"/>
              <w:rPr>
                <w:b/>
                <w:b/>
                <w:lang w:eastAsia="zh-CN"/>
              </w:rPr>
            </w:pPr>
            <w:r>
              <w:rPr>
                <w:rFonts w:eastAsia="Times New Roman"/>
                <w:b/>
                <w:lang w:eastAsia="zh-CN"/>
              </w:rPr>
              <w:t>№</w:t>
            </w:r>
            <w:r>
              <w:rPr>
                <w:rFonts w:eastAsia="Times New Roman"/>
                <w:b/>
                <w:lang w:eastAsia="zh-CN"/>
              </w:rPr>
              <w:t>п/п</w:t>
            </w:r>
          </w:p>
        </w:tc>
        <w:tc>
          <w:tcPr>
            <w:tcW w:w="2190" w:type="dxa"/>
            <w:vMerge w:val="restart"/>
            <w:tcBorders/>
            <w:shd w:fill="auto" w:val="clear"/>
            <w:tcMar>
              <w:left w:w="108" w:type="dxa"/>
            </w:tcMar>
            <w:vAlign w:val="center"/>
          </w:tcPr>
          <w:p>
            <w:pPr>
              <w:pStyle w:val="Normal"/>
              <w:spacing w:before="0" w:after="0"/>
              <w:ind w:hanging="0"/>
              <w:jc w:val="center"/>
              <w:rPr>
                <w:b/>
                <w:b/>
                <w:lang w:eastAsia="zh-CN"/>
              </w:rPr>
            </w:pPr>
            <w:r>
              <w:rPr>
                <w:rFonts w:eastAsia="Times New Roman"/>
                <w:b/>
                <w:lang w:eastAsia="zh-CN"/>
              </w:rPr>
              <w:t>Потребитель</w:t>
            </w:r>
          </w:p>
        </w:tc>
        <w:tc>
          <w:tcPr>
            <w:tcW w:w="3586" w:type="dxa"/>
            <w:gridSpan w:val="2"/>
            <w:tcBorders/>
            <w:shd w:fill="auto" w:val="clear"/>
            <w:tcMar>
              <w:left w:w="108" w:type="dxa"/>
            </w:tcMar>
            <w:vAlign w:val="center"/>
          </w:tcPr>
          <w:p>
            <w:pPr>
              <w:pStyle w:val="Normal"/>
              <w:spacing w:before="0" w:after="0"/>
              <w:ind w:hanging="0"/>
              <w:jc w:val="center"/>
              <w:rPr>
                <w:b/>
                <w:b/>
                <w:lang w:eastAsia="zh-CN"/>
              </w:rPr>
            </w:pPr>
            <w:r>
              <w:rPr>
                <w:rFonts w:eastAsia="Times New Roman"/>
                <w:b/>
                <w:lang w:eastAsia="zh-CN"/>
              </w:rPr>
              <w:t>2018 год</w:t>
            </w:r>
          </w:p>
        </w:tc>
        <w:tc>
          <w:tcPr>
            <w:tcW w:w="3561" w:type="dxa"/>
            <w:gridSpan w:val="2"/>
            <w:tcBorders/>
            <w:shd w:fill="auto" w:val="clear"/>
            <w:tcMar>
              <w:left w:w="108" w:type="dxa"/>
            </w:tcMar>
            <w:vAlign w:val="center"/>
          </w:tcPr>
          <w:p>
            <w:pPr>
              <w:pStyle w:val="Normal"/>
              <w:spacing w:before="0" w:after="0"/>
              <w:ind w:hanging="0"/>
              <w:jc w:val="center"/>
              <w:rPr>
                <w:b/>
                <w:b/>
                <w:lang w:eastAsia="zh-CN"/>
              </w:rPr>
            </w:pPr>
            <w:r>
              <w:rPr>
                <w:rFonts w:eastAsia="Times New Roman"/>
                <w:b/>
                <w:lang w:eastAsia="zh-CN"/>
              </w:rPr>
              <w:t>2034</w:t>
            </w:r>
          </w:p>
        </w:tc>
      </w:tr>
      <w:tr>
        <w:trPr/>
        <w:tc>
          <w:tcPr>
            <w:tcW w:w="802" w:type="dxa"/>
            <w:vMerge w:val="continue"/>
            <w:tcBorders/>
            <w:shd w:fill="auto" w:val="clear"/>
            <w:tcMar>
              <w:left w:w="108" w:type="dxa"/>
            </w:tcMar>
            <w:vAlign w:val="center"/>
          </w:tcPr>
          <w:p>
            <w:pPr>
              <w:pStyle w:val="Normal"/>
              <w:spacing w:before="0" w:after="0"/>
              <w:ind w:hanging="0"/>
              <w:jc w:val="center"/>
              <w:rPr>
                <w:rFonts w:eastAsia="Times New Roman"/>
                <w:lang w:eastAsia="zh-CN"/>
              </w:rPr>
            </w:pPr>
            <w:r>
              <w:rPr>
                <w:rFonts w:eastAsia="Times New Roman"/>
                <w:lang w:eastAsia="zh-CN"/>
              </w:rPr>
            </w:r>
          </w:p>
        </w:tc>
        <w:tc>
          <w:tcPr>
            <w:tcW w:w="2190" w:type="dxa"/>
            <w:vMerge w:val="continue"/>
            <w:tcBorders/>
            <w:shd w:fill="auto" w:val="clear"/>
            <w:tcMar>
              <w:left w:w="108" w:type="dxa"/>
            </w:tcMar>
            <w:vAlign w:val="center"/>
          </w:tcPr>
          <w:p>
            <w:pPr>
              <w:pStyle w:val="Normal"/>
              <w:spacing w:before="0" w:after="0"/>
              <w:ind w:hanging="0"/>
              <w:jc w:val="center"/>
              <w:rPr>
                <w:rFonts w:eastAsia="Times New Roman"/>
                <w:lang w:eastAsia="zh-CN"/>
              </w:rPr>
            </w:pPr>
            <w:r>
              <w:rPr>
                <w:rFonts w:eastAsia="Times New Roman"/>
                <w:lang w:eastAsia="zh-CN"/>
              </w:rPr>
            </w:r>
          </w:p>
        </w:tc>
        <w:tc>
          <w:tcPr>
            <w:tcW w:w="1924" w:type="dxa"/>
            <w:tcBorders/>
            <w:shd w:fill="auto" w:val="clear"/>
            <w:tcMar>
              <w:left w:w="108" w:type="dxa"/>
            </w:tcMar>
            <w:vAlign w:val="center"/>
          </w:tcPr>
          <w:p>
            <w:pPr>
              <w:pStyle w:val="Normal"/>
              <w:spacing w:before="0" w:after="0"/>
              <w:ind w:left="-57" w:right="-108" w:hanging="0"/>
              <w:jc w:val="center"/>
              <w:rPr>
                <w:b/>
                <w:b/>
                <w:lang w:eastAsia="zh-CN"/>
              </w:rPr>
            </w:pPr>
            <w:r>
              <w:rPr>
                <w:rFonts w:eastAsia="Times New Roman"/>
                <w:b/>
                <w:lang w:eastAsia="zh-CN"/>
              </w:rPr>
              <w:t>Фактическое</w:t>
            </w:r>
          </w:p>
          <w:p>
            <w:pPr>
              <w:pStyle w:val="Normal"/>
              <w:spacing w:before="0" w:after="0"/>
              <w:ind w:left="-57" w:right="-108" w:hanging="0"/>
              <w:jc w:val="center"/>
              <w:rPr>
                <w:b/>
                <w:b/>
                <w:lang w:eastAsia="zh-CN"/>
              </w:rPr>
            </w:pPr>
            <w:r>
              <w:rPr>
                <w:rFonts w:eastAsia="Times New Roman"/>
                <w:b/>
                <w:lang w:eastAsia="zh-CN"/>
              </w:rPr>
              <w:t>потребление, м³</w:t>
            </w:r>
          </w:p>
        </w:tc>
        <w:tc>
          <w:tcPr>
            <w:tcW w:w="1662" w:type="dxa"/>
            <w:tcBorders/>
            <w:shd w:fill="auto" w:val="clear"/>
            <w:tcMar>
              <w:left w:w="108" w:type="dxa"/>
            </w:tcMar>
            <w:vAlign w:val="center"/>
          </w:tcPr>
          <w:p>
            <w:pPr>
              <w:pStyle w:val="Normal"/>
              <w:spacing w:before="0" w:after="0"/>
              <w:ind w:left="-108" w:right="-149" w:hanging="0"/>
              <w:jc w:val="center"/>
              <w:rPr>
                <w:b/>
                <w:b/>
                <w:lang w:eastAsia="zh-CN"/>
              </w:rPr>
            </w:pPr>
            <w:r>
              <w:rPr>
                <w:rFonts w:eastAsia="Times New Roman"/>
                <w:b/>
                <w:lang w:eastAsia="zh-CN"/>
              </w:rPr>
              <w:t>Расчётное потребление, м³</w:t>
            </w:r>
          </w:p>
        </w:tc>
        <w:tc>
          <w:tcPr>
            <w:tcW w:w="1803" w:type="dxa"/>
            <w:tcBorders/>
            <w:shd w:fill="auto" w:val="clear"/>
            <w:tcMar>
              <w:left w:w="108" w:type="dxa"/>
            </w:tcMar>
            <w:vAlign w:val="center"/>
          </w:tcPr>
          <w:p>
            <w:pPr>
              <w:pStyle w:val="Normal"/>
              <w:spacing w:before="0" w:after="0"/>
              <w:ind w:left="-67" w:right="-108" w:hanging="0"/>
              <w:jc w:val="center"/>
              <w:rPr>
                <w:b/>
                <w:b/>
                <w:lang w:eastAsia="zh-CN"/>
              </w:rPr>
            </w:pPr>
            <w:r>
              <w:rPr>
                <w:rFonts w:eastAsia="Times New Roman"/>
                <w:b/>
                <w:lang w:eastAsia="zh-CN"/>
              </w:rPr>
              <w:t>Планируемое потребление, м³</w:t>
            </w:r>
          </w:p>
        </w:tc>
        <w:tc>
          <w:tcPr>
            <w:tcW w:w="1758" w:type="dxa"/>
            <w:tcBorders/>
            <w:shd w:fill="auto" w:val="clear"/>
            <w:tcMar>
              <w:left w:w="108" w:type="dxa"/>
            </w:tcMar>
            <w:vAlign w:val="center"/>
          </w:tcPr>
          <w:p>
            <w:pPr>
              <w:pStyle w:val="Normal"/>
              <w:spacing w:before="0" w:after="0"/>
              <w:ind w:left="-108" w:right="-142" w:hanging="0"/>
              <w:jc w:val="center"/>
              <w:rPr>
                <w:b/>
                <w:b/>
                <w:lang w:eastAsia="zh-CN"/>
              </w:rPr>
            </w:pPr>
            <w:r>
              <w:rPr>
                <w:rFonts w:eastAsia="Times New Roman"/>
                <w:b/>
                <w:lang w:eastAsia="zh-CN"/>
              </w:rPr>
              <w:t>Расчётное потребление, м³</w:t>
            </w:r>
          </w:p>
        </w:tc>
      </w:tr>
      <w:tr>
        <w:trPr/>
        <w:tc>
          <w:tcPr>
            <w:tcW w:w="802"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1</w:t>
            </w:r>
          </w:p>
        </w:tc>
        <w:tc>
          <w:tcPr>
            <w:tcW w:w="21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Население</w:t>
            </w:r>
          </w:p>
        </w:tc>
        <w:tc>
          <w:tcPr>
            <w:tcW w:w="192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86332</w:t>
            </w:r>
          </w:p>
        </w:tc>
        <w:tc>
          <w:tcPr>
            <w:tcW w:w="1662"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199352</w:t>
            </w:r>
          </w:p>
        </w:tc>
        <w:tc>
          <w:tcPr>
            <w:tcW w:w="1803"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47482</w:t>
            </w:r>
          </w:p>
        </w:tc>
        <w:tc>
          <w:tcPr>
            <w:tcW w:w="1758"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119620</w:t>
            </w:r>
          </w:p>
        </w:tc>
      </w:tr>
      <w:tr>
        <w:trPr/>
        <w:tc>
          <w:tcPr>
            <w:tcW w:w="802"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2</w:t>
            </w:r>
          </w:p>
        </w:tc>
        <w:tc>
          <w:tcPr>
            <w:tcW w:w="21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Организации</w:t>
            </w:r>
          </w:p>
        </w:tc>
        <w:tc>
          <w:tcPr>
            <w:tcW w:w="192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2517</w:t>
            </w:r>
          </w:p>
        </w:tc>
        <w:tc>
          <w:tcPr>
            <w:tcW w:w="1662"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5813</w:t>
            </w:r>
          </w:p>
        </w:tc>
        <w:tc>
          <w:tcPr>
            <w:tcW w:w="1803"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1384</w:t>
            </w:r>
          </w:p>
        </w:tc>
        <w:tc>
          <w:tcPr>
            <w:tcW w:w="1758"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3488</w:t>
            </w:r>
          </w:p>
        </w:tc>
      </w:tr>
      <w:tr>
        <w:trPr/>
        <w:tc>
          <w:tcPr>
            <w:tcW w:w="802"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3</w:t>
            </w:r>
          </w:p>
        </w:tc>
        <w:tc>
          <w:tcPr>
            <w:tcW w:w="21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Бюджетные учреждения</w:t>
            </w:r>
          </w:p>
        </w:tc>
        <w:tc>
          <w:tcPr>
            <w:tcW w:w="192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3958</w:t>
            </w:r>
          </w:p>
        </w:tc>
        <w:tc>
          <w:tcPr>
            <w:tcW w:w="1662"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9141</w:t>
            </w:r>
          </w:p>
        </w:tc>
        <w:tc>
          <w:tcPr>
            <w:tcW w:w="1803"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2177</w:t>
            </w:r>
          </w:p>
        </w:tc>
        <w:tc>
          <w:tcPr>
            <w:tcW w:w="1758"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5485</w:t>
            </w:r>
          </w:p>
        </w:tc>
      </w:tr>
      <w:tr>
        <w:trPr/>
        <w:tc>
          <w:tcPr>
            <w:tcW w:w="802"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4</w:t>
            </w:r>
          </w:p>
        </w:tc>
        <w:tc>
          <w:tcPr>
            <w:tcW w:w="21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Производственные нужды</w:t>
            </w:r>
          </w:p>
        </w:tc>
        <w:tc>
          <w:tcPr>
            <w:tcW w:w="192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w:t>
            </w:r>
          </w:p>
        </w:tc>
        <w:tc>
          <w:tcPr>
            <w:tcW w:w="1662"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w:t>
            </w:r>
          </w:p>
        </w:tc>
        <w:tc>
          <w:tcPr>
            <w:tcW w:w="1803"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w:t>
            </w:r>
          </w:p>
        </w:tc>
        <w:tc>
          <w:tcPr>
            <w:tcW w:w="1758"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w:t>
            </w:r>
          </w:p>
        </w:tc>
      </w:tr>
      <w:tr>
        <w:trPr/>
        <w:tc>
          <w:tcPr>
            <w:tcW w:w="802"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5</w:t>
            </w:r>
          </w:p>
        </w:tc>
        <w:tc>
          <w:tcPr>
            <w:tcW w:w="21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Собственные нужды</w:t>
            </w:r>
          </w:p>
        </w:tc>
        <w:tc>
          <w:tcPr>
            <w:tcW w:w="192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37</w:t>
            </w:r>
          </w:p>
        </w:tc>
        <w:tc>
          <w:tcPr>
            <w:tcW w:w="1662"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86</w:t>
            </w:r>
          </w:p>
        </w:tc>
        <w:tc>
          <w:tcPr>
            <w:tcW w:w="1803"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20</w:t>
            </w:r>
          </w:p>
        </w:tc>
        <w:tc>
          <w:tcPr>
            <w:tcW w:w="1758"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51</w:t>
            </w:r>
          </w:p>
        </w:tc>
      </w:tr>
      <w:tr>
        <w:trPr/>
        <w:tc>
          <w:tcPr>
            <w:tcW w:w="802"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6</w:t>
            </w:r>
          </w:p>
        </w:tc>
        <w:tc>
          <w:tcPr>
            <w:tcW w:w="21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Потери</w:t>
            </w:r>
          </w:p>
        </w:tc>
        <w:tc>
          <w:tcPr>
            <w:tcW w:w="192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720</w:t>
            </w:r>
          </w:p>
        </w:tc>
        <w:tc>
          <w:tcPr>
            <w:tcW w:w="1662"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1663</w:t>
            </w:r>
          </w:p>
        </w:tc>
        <w:tc>
          <w:tcPr>
            <w:tcW w:w="1803"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396</w:t>
            </w:r>
          </w:p>
        </w:tc>
        <w:tc>
          <w:tcPr>
            <w:tcW w:w="1758"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998</w:t>
            </w:r>
          </w:p>
        </w:tc>
      </w:tr>
      <w:tr>
        <w:trPr/>
        <w:tc>
          <w:tcPr>
            <w:tcW w:w="2992" w:type="dxa"/>
            <w:gridSpan w:val="2"/>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Общее:</w:t>
            </w:r>
          </w:p>
        </w:tc>
        <w:tc>
          <w:tcPr>
            <w:tcW w:w="1924"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93585</w:t>
            </w:r>
          </w:p>
        </w:tc>
        <w:tc>
          <w:tcPr>
            <w:tcW w:w="1662"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216100</w:t>
            </w:r>
          </w:p>
        </w:tc>
        <w:tc>
          <w:tcPr>
            <w:tcW w:w="1803"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51471,5</w:t>
            </w:r>
          </w:p>
        </w:tc>
        <w:tc>
          <w:tcPr>
            <w:tcW w:w="1758"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129670</w:t>
            </w:r>
          </w:p>
        </w:tc>
      </w:tr>
    </w:tbl>
    <w:p>
      <w:pPr>
        <w:pStyle w:val="Normal"/>
        <w:spacing w:lineRule="auto" w:line="360" w:before="0" w:after="0"/>
        <w:rPr>
          <w:sz w:val="28"/>
          <w:lang w:eastAsia="zh-CN"/>
        </w:rPr>
      </w:pPr>
      <w:r>
        <w:rPr>
          <w:sz w:val="28"/>
          <w:lang w:eastAsia="zh-CN"/>
        </w:rPr>
      </w:r>
    </w:p>
    <w:p>
      <w:pPr>
        <w:pStyle w:val="Normal"/>
        <w:spacing w:lineRule="auto" w:line="360" w:before="0" w:after="0"/>
        <w:rPr>
          <w:sz w:val="28"/>
          <w:lang w:eastAsia="zh-CN"/>
        </w:rPr>
      </w:pPr>
      <w:r>
        <w:rPr>
          <w:sz w:val="28"/>
          <w:lang w:eastAsia="zh-CN"/>
        </w:rPr>
        <w:t>Исходя из расчетов, следует, что планируемое водопотребление на расчетный 2034 год, составит 51471,5 м³, расчётное 129,67 тыс. м³.  Процент распределения воды по группам потребителей:</w:t>
      </w:r>
    </w:p>
    <w:tbl>
      <w:tblPr>
        <w:tblStyle w:val="ae"/>
        <w:tblW w:w="10848" w:type="dxa"/>
        <w:jc w:val="left"/>
        <w:tblInd w:w="0" w:type="dxa"/>
        <w:tblCellMar>
          <w:top w:w="0" w:type="dxa"/>
          <w:left w:w="108" w:type="dxa"/>
          <w:bottom w:w="0" w:type="dxa"/>
          <w:right w:w="108" w:type="dxa"/>
        </w:tblCellMar>
        <w:tblLook w:val="04a0"/>
      </w:tblPr>
      <w:tblGrid>
        <w:gridCol w:w="5777"/>
        <w:gridCol w:w="5070"/>
      </w:tblGrid>
      <w:tr>
        <w:trPr/>
        <w:tc>
          <w:tcPr>
            <w:tcW w:w="5777" w:type="dxa"/>
            <w:tcBorders>
              <w:top w:val="nil"/>
              <w:left w:val="nil"/>
              <w:bottom w:val="nil"/>
              <w:right w:val="nil"/>
              <w:insideH w:val="nil"/>
              <w:insideV w:val="nil"/>
            </w:tcBorders>
            <w:shd w:fill="auto" w:val="clear"/>
            <w:vAlign w:val="center"/>
          </w:tcPr>
          <w:p>
            <w:pPr>
              <w:pStyle w:val="Normal"/>
              <w:spacing w:lineRule="auto" w:line="360" w:before="0" w:after="0"/>
              <w:ind w:hanging="0"/>
              <w:jc w:val="left"/>
              <w:rPr>
                <w:rFonts w:eastAsia="Times New Roman"/>
                <w:sz w:val="28"/>
                <w:lang w:eastAsia="zh-CN"/>
              </w:rPr>
            </w:pPr>
            <w:r>
              <w:rPr>
                <w:rFonts w:eastAsia="Times New Roman"/>
                <w:sz w:val="28"/>
                <w:lang w:eastAsia="zh-CN"/>
              </w:rPr>
              <mc:AlternateContent>
                <mc:Choice Requires="wps">
                  <w:drawing>
                    <wp:anchor behindDoc="1" distT="0" distB="0" distL="114300" distR="114300" simplePos="0" locked="0" layoutInCell="1" allowOverlap="1" relativeHeight="7">
                      <wp:simplePos x="0" y="0"/>
                      <wp:positionH relativeFrom="column">
                        <wp:posOffset>171450</wp:posOffset>
                      </wp:positionH>
                      <wp:positionV relativeFrom="paragraph">
                        <wp:posOffset>58420</wp:posOffset>
                      </wp:positionV>
                      <wp:extent cx="3450590" cy="95885"/>
                      <wp:effectExtent l="0" t="0" r="0" b="0"/>
                      <wp:wrapNone/>
                      <wp:docPr id="8" name=""/>
                      <a:graphic xmlns:a="http://schemas.openxmlformats.org/drawingml/2006/main">
                        <a:graphicData uri="http://schemas.microsoft.com/office/word/2010/wordprocessingShape">
                          <wps:wsp>
                            <wps:cNvSpPr/>
                            <wps:nvSpPr>
                              <wps:cNvPr id="2" name="Rectangle 1"/>
                              <wps:cNvSpPr/>
                            </wps:nvSpPr>
                            <wps:spPr>
                              <a:xfrm>
                                <a:off x="0" y="0"/>
                                <a:ext cx="3449880" cy="95400"/>
                              </a:xfrm>
                              <a:prstGeom prst="rect">
                                <a:avLst/>
                              </a:prstGeom>
                              <a:solidFill>
                                <a:srgbClr val="4f81bd"/>
                              </a:solidFill>
                              <a:ln>
                                <a:noFill/>
                              </a:ln>
                            </wps:spPr>
                            <wps:bodyPr/>
                          </wps:wsp>
                        </a:graphicData>
                      </a:graphic>
                    </wp:anchor>
                  </w:drawing>
                </mc:Choice>
                <mc:Fallback>
                  <w:pict>
                    <v:rect id="shape_0" fillcolor="#4f81bd" stroked="f" style="position:absolute;margin-left:13.5pt;margin-top:4.6pt;width:271.6pt;height:7.45pt">
                      <w10:wrap type="none"/>
                      <v:fill o:detectmouseclick="t" type="solid" color2="#b07e42"/>
                      <v:stroke color="#3465a4" joinstyle="round" endcap="flat"/>
                    </v:rect>
                  </w:pict>
                </mc:Fallback>
              </mc:AlternateContent>
            </w:r>
          </w:p>
        </w:tc>
        <w:tc>
          <w:tcPr>
            <w:tcW w:w="5070" w:type="dxa"/>
            <w:tcBorders>
              <w:top w:val="nil"/>
              <w:left w:val="nil"/>
              <w:bottom w:val="nil"/>
              <w:right w:val="nil"/>
              <w:insideH w:val="nil"/>
              <w:insideV w:val="nil"/>
            </w:tcBorders>
            <w:shd w:fill="auto" w:val="clear"/>
          </w:tcPr>
          <w:p>
            <w:pPr>
              <w:pStyle w:val="Normal"/>
              <w:spacing w:lineRule="auto" w:line="360" w:before="0" w:after="0"/>
              <w:ind w:hanging="0"/>
              <w:rPr>
                <w:sz w:val="28"/>
                <w:lang w:eastAsia="zh-CN"/>
              </w:rPr>
            </w:pPr>
            <w:r>
              <w:rPr>
                <w:rFonts w:eastAsia="Times New Roman"/>
                <w:sz w:val="28"/>
                <w:lang w:eastAsia="zh-CN"/>
              </w:rPr>
              <w:t>- Население - 92,25%</w:t>
            </w:r>
          </w:p>
        </w:tc>
      </w:tr>
      <w:tr>
        <w:trPr/>
        <w:tc>
          <w:tcPr>
            <w:tcW w:w="5777" w:type="dxa"/>
            <w:tcBorders>
              <w:top w:val="nil"/>
              <w:left w:val="nil"/>
              <w:bottom w:val="nil"/>
              <w:right w:val="nil"/>
              <w:insideH w:val="nil"/>
              <w:insideV w:val="nil"/>
            </w:tcBorders>
            <w:shd w:fill="auto" w:val="clear"/>
            <w:vAlign w:val="center"/>
          </w:tcPr>
          <w:p>
            <w:pPr>
              <w:pStyle w:val="Normal"/>
              <w:spacing w:lineRule="auto" w:line="360" w:before="0" w:after="0"/>
              <w:ind w:hanging="0"/>
              <w:jc w:val="left"/>
              <w:rPr>
                <w:rFonts w:eastAsia="Times New Roman"/>
                <w:sz w:val="28"/>
                <w:lang w:eastAsia="zh-CN"/>
              </w:rPr>
            </w:pPr>
            <w:r>
              <w:rPr>
                <w:rFonts w:eastAsia="Times New Roman"/>
                <w:sz w:val="28"/>
                <w:lang w:eastAsia="zh-CN"/>
              </w:rPr>
              <mc:AlternateContent>
                <mc:Choice Requires="wps">
                  <w:drawing>
                    <wp:anchor behindDoc="1" distT="0" distB="0" distL="114300" distR="114300" simplePos="0" locked="0" layoutInCell="1" allowOverlap="1" relativeHeight="8">
                      <wp:simplePos x="0" y="0"/>
                      <wp:positionH relativeFrom="column">
                        <wp:posOffset>173355</wp:posOffset>
                      </wp:positionH>
                      <wp:positionV relativeFrom="paragraph">
                        <wp:posOffset>38100</wp:posOffset>
                      </wp:positionV>
                      <wp:extent cx="610235" cy="91440"/>
                      <wp:effectExtent l="0" t="0" r="0" b="0"/>
                      <wp:wrapNone/>
                      <wp:docPr id="9" name=""/>
                      <a:graphic xmlns:a="http://schemas.openxmlformats.org/drawingml/2006/main">
                        <a:graphicData uri="http://schemas.microsoft.com/office/word/2010/wordprocessingShape">
                          <wps:wsp>
                            <wps:cNvSpPr/>
                            <wps:nvSpPr>
                              <wps:cNvPr id="3" name="Rectangle 1"/>
                              <wps:cNvSpPr/>
                            </wps:nvSpPr>
                            <wps:spPr>
                              <a:xfrm>
                                <a:off x="0" y="0"/>
                                <a:ext cx="609480" cy="90720"/>
                              </a:xfrm>
                              <a:prstGeom prst="rect">
                                <a:avLst/>
                              </a:prstGeom>
                              <a:solidFill>
                                <a:srgbClr val="9bbb59"/>
                              </a:solidFill>
                              <a:ln>
                                <a:noFill/>
                              </a:ln>
                            </wps:spPr>
                            <wps:bodyPr/>
                          </wps:wsp>
                        </a:graphicData>
                      </a:graphic>
                    </wp:anchor>
                  </w:drawing>
                </mc:Choice>
                <mc:Fallback>
                  <w:pict>
                    <v:rect id="shape_0" fillcolor="#9bbb59" stroked="f" style="position:absolute;margin-left:13.65pt;margin-top:3pt;width:47.95pt;height:7.1pt">
                      <w10:wrap type="none"/>
                      <v:fill o:detectmouseclick="t" type="solid" color2="#6444a6"/>
                      <v:stroke color="#3465a4" joinstyle="round" endcap="flat"/>
                    </v:rect>
                  </w:pict>
                </mc:Fallback>
              </mc:AlternateContent>
            </w:r>
          </w:p>
        </w:tc>
        <w:tc>
          <w:tcPr>
            <w:tcW w:w="5070" w:type="dxa"/>
            <w:tcBorders>
              <w:top w:val="nil"/>
              <w:left w:val="nil"/>
              <w:bottom w:val="nil"/>
              <w:right w:val="nil"/>
              <w:insideH w:val="nil"/>
              <w:insideV w:val="nil"/>
            </w:tcBorders>
            <w:shd w:fill="auto" w:val="clear"/>
          </w:tcPr>
          <w:p>
            <w:pPr>
              <w:pStyle w:val="Normal"/>
              <w:spacing w:lineRule="auto" w:line="360" w:before="0" w:after="0"/>
              <w:ind w:left="34" w:hanging="0"/>
              <w:rPr>
                <w:sz w:val="28"/>
                <w:lang w:eastAsia="zh-CN"/>
              </w:rPr>
            </w:pPr>
            <w:r>
              <w:rPr>
                <w:rFonts w:eastAsia="Times New Roman"/>
                <w:sz w:val="28"/>
                <w:lang w:eastAsia="zh-CN"/>
              </w:rPr>
              <w:t>- Бюджетные учреждения - 4,23%</w:t>
            </w:r>
          </w:p>
        </w:tc>
      </w:tr>
      <w:tr>
        <w:trPr>
          <w:trHeight w:val="322" w:hRule="atLeast"/>
        </w:trPr>
        <w:tc>
          <w:tcPr>
            <w:tcW w:w="5777" w:type="dxa"/>
            <w:tcBorders>
              <w:top w:val="nil"/>
              <w:left w:val="nil"/>
              <w:bottom w:val="nil"/>
              <w:right w:val="nil"/>
              <w:insideH w:val="nil"/>
              <w:insideV w:val="nil"/>
            </w:tcBorders>
            <w:shd w:fill="auto" w:val="clear"/>
            <w:vAlign w:val="center"/>
          </w:tcPr>
          <w:p>
            <w:pPr>
              <w:pStyle w:val="Normal"/>
              <w:spacing w:lineRule="auto" w:line="360" w:before="0" w:after="0"/>
              <w:ind w:hanging="0"/>
              <w:jc w:val="left"/>
              <w:rPr>
                <w:rFonts w:eastAsia="Times New Roman"/>
                <w:sz w:val="28"/>
                <w:lang w:eastAsia="zh-CN"/>
              </w:rPr>
            </w:pPr>
            <w:r>
              <w:rPr>
                <w:rFonts w:eastAsia="Times New Roman"/>
                <w:sz w:val="28"/>
                <w:lang w:eastAsia="zh-CN"/>
              </w:rPr>
              <mc:AlternateContent>
                <mc:Choice Requires="wps">
                  <w:drawing>
                    <wp:anchor behindDoc="1" distT="0" distB="0" distL="114300" distR="114300" simplePos="0" locked="0" layoutInCell="1" allowOverlap="1" relativeHeight="9">
                      <wp:simplePos x="0" y="0"/>
                      <wp:positionH relativeFrom="column">
                        <wp:posOffset>173355</wp:posOffset>
                      </wp:positionH>
                      <wp:positionV relativeFrom="paragraph">
                        <wp:posOffset>15240</wp:posOffset>
                      </wp:positionV>
                      <wp:extent cx="305435" cy="91440"/>
                      <wp:effectExtent l="0" t="0" r="0" b="0"/>
                      <wp:wrapNone/>
                      <wp:docPr id="10" name=""/>
                      <a:graphic xmlns:a="http://schemas.openxmlformats.org/drawingml/2006/main">
                        <a:graphicData uri="http://schemas.microsoft.com/office/word/2010/wordprocessingShape">
                          <wps:wsp>
                            <wps:cNvSpPr/>
                            <wps:nvSpPr>
                              <wps:cNvPr id="4" name="Rectangle 1"/>
                              <wps:cNvSpPr/>
                            </wps:nvSpPr>
                            <wps:spPr>
                              <a:xfrm>
                                <a:off x="0" y="0"/>
                                <a:ext cx="304920" cy="90720"/>
                              </a:xfrm>
                              <a:prstGeom prst="rect">
                                <a:avLst/>
                              </a:prstGeom>
                              <a:solidFill>
                                <a:srgbClr val="c0504d"/>
                              </a:solidFill>
                              <a:ln>
                                <a:noFill/>
                              </a:ln>
                            </wps:spPr>
                            <wps:bodyPr/>
                          </wps:wsp>
                        </a:graphicData>
                      </a:graphic>
                    </wp:anchor>
                  </w:drawing>
                </mc:Choice>
                <mc:Fallback>
                  <w:pict>
                    <v:rect id="shape_0" fillcolor="#c0504d" stroked="f" style="position:absolute;margin-left:13.65pt;margin-top:1.2pt;width:23.95pt;height:7.1pt">
                      <w10:wrap type="none"/>
                      <v:fill o:detectmouseclick="t" type="solid" color2="#3fafb2"/>
                      <v:stroke color="#3465a4" joinstyle="round" endcap="flat"/>
                    </v:rect>
                  </w:pict>
                </mc:Fallback>
              </mc:AlternateContent>
            </w:r>
          </w:p>
        </w:tc>
        <w:tc>
          <w:tcPr>
            <w:tcW w:w="5070" w:type="dxa"/>
            <w:tcBorders>
              <w:top w:val="nil"/>
              <w:left w:val="nil"/>
              <w:bottom w:val="nil"/>
              <w:right w:val="nil"/>
              <w:insideH w:val="nil"/>
              <w:insideV w:val="nil"/>
            </w:tcBorders>
            <w:shd w:fill="auto" w:val="clear"/>
          </w:tcPr>
          <w:p>
            <w:pPr>
              <w:pStyle w:val="Normal"/>
              <w:spacing w:lineRule="auto" w:line="360" w:before="0" w:after="0"/>
              <w:ind w:left="34" w:hanging="0"/>
              <w:rPr>
                <w:sz w:val="28"/>
                <w:lang w:eastAsia="zh-CN"/>
              </w:rPr>
            </w:pPr>
            <w:r>
              <w:rPr>
                <w:rFonts w:eastAsia="Times New Roman"/>
                <w:sz w:val="28"/>
                <w:lang w:eastAsia="zh-CN"/>
              </w:rPr>
              <w:t>- Организации - 2,26%</w:t>
            </w:r>
          </w:p>
        </w:tc>
      </w:tr>
      <w:tr>
        <w:trPr/>
        <w:tc>
          <w:tcPr>
            <w:tcW w:w="5777" w:type="dxa"/>
            <w:tcBorders>
              <w:top w:val="nil"/>
              <w:left w:val="nil"/>
              <w:bottom w:val="nil"/>
              <w:right w:val="nil"/>
              <w:insideH w:val="nil"/>
              <w:insideV w:val="nil"/>
            </w:tcBorders>
            <w:shd w:fill="auto" w:val="clear"/>
            <w:vAlign w:val="center"/>
          </w:tcPr>
          <w:p>
            <w:pPr>
              <w:pStyle w:val="Normal"/>
              <w:spacing w:lineRule="auto" w:line="360" w:before="0" w:after="0"/>
              <w:ind w:hanging="0"/>
              <w:jc w:val="left"/>
              <w:rPr>
                <w:rFonts w:eastAsia="Times New Roman"/>
                <w:sz w:val="28"/>
                <w:lang w:eastAsia="zh-CN"/>
              </w:rPr>
            </w:pPr>
            <w:r>
              <w:rPr>
                <w:rFonts w:eastAsia="Times New Roman"/>
                <w:sz w:val="28"/>
                <w:lang w:eastAsia="zh-CN"/>
              </w:rPr>
              <mc:AlternateContent>
                <mc:Choice Requires="wps">
                  <w:drawing>
                    <wp:anchor behindDoc="1" distT="0" distB="0" distL="114300" distR="114300" simplePos="0" locked="0" layoutInCell="1" allowOverlap="1" relativeHeight="10">
                      <wp:simplePos x="0" y="0"/>
                      <wp:positionH relativeFrom="column">
                        <wp:posOffset>173355</wp:posOffset>
                      </wp:positionH>
                      <wp:positionV relativeFrom="paragraph">
                        <wp:posOffset>53975</wp:posOffset>
                      </wp:positionV>
                      <wp:extent cx="143510" cy="91440"/>
                      <wp:effectExtent l="0" t="0" r="0" b="0"/>
                      <wp:wrapNone/>
                      <wp:docPr id="11" name=""/>
                      <a:graphic xmlns:a="http://schemas.openxmlformats.org/drawingml/2006/main">
                        <a:graphicData uri="http://schemas.microsoft.com/office/word/2010/wordprocessingShape">
                          <wps:wsp>
                            <wps:cNvSpPr/>
                            <wps:nvSpPr>
                              <wps:cNvPr id="5" name="Rectangle 1"/>
                              <wps:cNvSpPr/>
                            </wps:nvSpPr>
                            <wps:spPr>
                              <a:xfrm>
                                <a:off x="0" y="0"/>
                                <a:ext cx="142920" cy="90720"/>
                              </a:xfrm>
                              <a:prstGeom prst="rect">
                                <a:avLst/>
                              </a:prstGeom>
                              <a:gradFill>
                                <a:gsLst>
                                  <a:gs pos="0">
                                    <a:srgbClr val="92cddc"/>
                                  </a:gs>
                                  <a:gs pos="50000">
                                    <a:srgbClr val="4bacc6"/>
                                  </a:gs>
                                  <a:gs pos="100000">
                                    <a:srgbClr val="92cddc"/>
                                  </a:gs>
                                </a:gsLst>
                                <a:lin ang="16200000"/>
                              </a:gradFill>
                              <a:ln>
                                <a:noFill/>
                              </a:ln>
                            </wps:spPr>
                            <wps:bodyPr/>
                          </wps:wsp>
                        </a:graphicData>
                      </a:graphic>
                    </wp:anchor>
                  </w:drawing>
                </mc:Choice>
                <mc:Fallback>
                  <w:pict>
                    <v:rect id="shape_0" fillcolor="#92cddc" stroked="f" style="position:absolute;margin-left:13.65pt;margin-top:4.25pt;width:11.2pt;height:7.1pt">
                      <w10:wrap type="none"/>
                      <v:fill o:detectmouseclick="t" color2="#4bacc6"/>
                      <v:stroke color="#3465a4" joinstyle="round" endcap="flat"/>
                    </v:rect>
                  </w:pict>
                </mc:Fallback>
              </mc:AlternateContent>
            </w:r>
          </w:p>
        </w:tc>
        <w:tc>
          <w:tcPr>
            <w:tcW w:w="5070" w:type="dxa"/>
            <w:tcBorders>
              <w:top w:val="nil"/>
              <w:left w:val="nil"/>
              <w:bottom w:val="nil"/>
              <w:right w:val="nil"/>
              <w:insideH w:val="nil"/>
              <w:insideV w:val="nil"/>
            </w:tcBorders>
            <w:shd w:fill="auto" w:val="clear"/>
          </w:tcPr>
          <w:p>
            <w:pPr>
              <w:pStyle w:val="Normal"/>
              <w:spacing w:lineRule="auto" w:line="360" w:before="0" w:after="0"/>
              <w:ind w:left="34" w:hanging="0"/>
              <w:rPr>
                <w:sz w:val="28"/>
                <w:lang w:eastAsia="zh-CN"/>
              </w:rPr>
            </w:pPr>
            <w:r>
              <w:rPr>
                <w:rFonts w:eastAsia="Times New Roman"/>
                <w:sz w:val="28"/>
                <w:lang w:eastAsia="zh-CN"/>
              </w:rPr>
              <w:t>- Потери - 0,77%</w:t>
            </w:r>
          </w:p>
        </w:tc>
      </w:tr>
      <w:tr>
        <w:trPr/>
        <w:tc>
          <w:tcPr>
            <w:tcW w:w="5777" w:type="dxa"/>
            <w:tcBorders>
              <w:top w:val="nil"/>
              <w:left w:val="nil"/>
              <w:bottom w:val="nil"/>
              <w:right w:val="nil"/>
              <w:insideH w:val="nil"/>
              <w:insideV w:val="nil"/>
            </w:tcBorders>
            <w:shd w:fill="auto" w:val="clear"/>
            <w:vAlign w:val="center"/>
          </w:tcPr>
          <w:p>
            <w:pPr>
              <w:pStyle w:val="Normal"/>
              <w:spacing w:lineRule="auto" w:line="360" w:before="0" w:after="0"/>
              <w:ind w:hanging="0"/>
              <w:jc w:val="left"/>
              <w:rPr>
                <w:rFonts w:eastAsia="Times New Roman"/>
                <w:sz w:val="28"/>
                <w:lang w:eastAsia="zh-CN"/>
              </w:rPr>
            </w:pPr>
            <w:r>
              <w:rPr>
                <w:rFonts w:eastAsia="Times New Roman"/>
                <w:sz w:val="28"/>
                <w:lang w:eastAsia="zh-CN"/>
              </w:rPr>
              <mc:AlternateContent>
                <mc:Choice Requires="wps">
                  <w:drawing>
                    <wp:anchor behindDoc="1" distT="0" distB="0" distL="114300" distR="114300" simplePos="0" locked="0" layoutInCell="1" allowOverlap="1" relativeHeight="11">
                      <wp:simplePos x="0" y="0"/>
                      <wp:positionH relativeFrom="column">
                        <wp:posOffset>171450</wp:posOffset>
                      </wp:positionH>
                      <wp:positionV relativeFrom="paragraph">
                        <wp:posOffset>64135</wp:posOffset>
                      </wp:positionV>
                      <wp:extent cx="91440" cy="91440"/>
                      <wp:effectExtent l="0" t="0" r="0" b="0"/>
                      <wp:wrapNone/>
                      <wp:docPr id="12" name=""/>
                      <a:graphic xmlns:a="http://schemas.openxmlformats.org/drawingml/2006/main">
                        <a:graphicData uri="http://schemas.microsoft.com/office/word/2010/wordprocessingShape">
                          <wps:wsp>
                            <wps:cNvSpPr/>
                            <wps:nvSpPr>
                              <wps:cNvPr id="6" name="Rectangle 1"/>
                              <wps:cNvSpPr/>
                            </wps:nvSpPr>
                            <wps:spPr>
                              <a:xfrm>
                                <a:off x="0" y="0"/>
                                <a:ext cx="90720" cy="90720"/>
                              </a:xfrm>
                              <a:prstGeom prst="rect">
                                <a:avLst/>
                              </a:prstGeom>
                              <a:solidFill>
                                <a:srgbClr val="8064a2"/>
                              </a:solidFill>
                              <a:ln w="3240">
                                <a:solidFill>
                                  <a:srgbClr val="f2f2f2"/>
                                </a:solidFill>
                                <a:round/>
                              </a:ln>
                            </wps:spPr>
                            <wps:bodyPr/>
                          </wps:wsp>
                        </a:graphicData>
                      </a:graphic>
                    </wp:anchor>
                  </w:drawing>
                </mc:Choice>
                <mc:Fallback>
                  <w:pict>
                    <v:rect id="shape_0" fillcolor="#8064a2" stroked="t" style="position:absolute;margin-left:13.5pt;margin-top:5.05pt;width:7.1pt;height:7.1pt">
                      <w10:wrap type="none"/>
                      <v:fill o:detectmouseclick="t" type="solid" color2="#7f9b5d"/>
                      <v:stroke color="#f2f2f2" weight="3240" joinstyle="round" endcap="flat"/>
                    </v:rect>
                  </w:pict>
                </mc:Fallback>
              </mc:AlternateContent>
            </w:r>
          </w:p>
        </w:tc>
        <w:tc>
          <w:tcPr>
            <w:tcW w:w="5070" w:type="dxa"/>
            <w:tcBorders>
              <w:top w:val="nil"/>
              <w:left w:val="nil"/>
              <w:bottom w:val="nil"/>
              <w:right w:val="nil"/>
              <w:insideH w:val="nil"/>
              <w:insideV w:val="nil"/>
            </w:tcBorders>
            <w:shd w:fill="auto" w:val="clear"/>
          </w:tcPr>
          <w:p>
            <w:pPr>
              <w:pStyle w:val="Normal"/>
              <w:spacing w:lineRule="auto" w:line="360" w:before="0" w:after="0"/>
              <w:ind w:left="34" w:hanging="0"/>
              <w:rPr>
                <w:sz w:val="28"/>
                <w:lang w:eastAsia="zh-CN"/>
              </w:rPr>
            </w:pPr>
            <w:r>
              <w:rPr>
                <w:rFonts w:eastAsia="Times New Roman"/>
                <w:sz w:val="28"/>
                <w:lang w:eastAsia="zh-CN"/>
              </w:rPr>
              <w:t>- Собственные нужды - 0,04%</w:t>
            </w:r>
          </w:p>
        </w:tc>
      </w:tr>
    </w:tbl>
    <w:p>
      <w:pPr>
        <w:pStyle w:val="Normal"/>
        <w:spacing w:lineRule="auto" w:line="360" w:before="0" w:after="0"/>
        <w:rPr>
          <w:sz w:val="28"/>
          <w:lang w:eastAsia="zh-CN"/>
        </w:rPr>
      </w:pPr>
      <w:r>
        <w:rPr>
          <w:sz w:val="28"/>
          <w:lang w:eastAsia="zh-CN"/>
        </w:rPr>
        <w:t xml:space="preserve">В Алексеевском муниципальном образовании процент распределения воды по группам потребителей на 2034 год не изменится, ввиду отсутствия планов на застройку территории, подключений новых потребителей, и снижения численности населения. </w:t>
      </w:r>
    </w:p>
    <w:p>
      <w:pPr>
        <w:pStyle w:val="2"/>
        <w:numPr>
          <w:ilvl w:val="2"/>
          <w:numId w:val="2"/>
        </w:numPr>
        <w:tabs>
          <w:tab w:val="left" w:pos="851" w:leader="none"/>
          <w:tab w:val="left" w:pos="1560" w:leader="none"/>
        </w:tabs>
        <w:spacing w:lineRule="auto" w:line="360" w:before="120" w:after="240"/>
        <w:ind w:left="0" w:firstLine="567"/>
        <w:rPr>
          <w:sz w:val="28"/>
          <w:lang w:eastAsia="zh-CN"/>
        </w:rPr>
      </w:pPr>
      <w:bookmarkStart w:id="81" w:name="_Toc381715506"/>
      <w:bookmarkStart w:id="82" w:name="_Toc380482146"/>
      <w:r>
        <w:rPr>
          <w:sz w:val="28"/>
          <w:lang w:eastAsia="zh-CN"/>
        </w:rPr>
        <w:t>Сведения о фактических и планируемых потерях воды при ее транспортировке (годовые, среднесуточные значения)</w:t>
      </w:r>
      <w:bookmarkEnd w:id="81"/>
      <w:bookmarkEnd w:id="82"/>
      <w:r>
        <w:rPr>
          <w:sz w:val="28"/>
          <w:lang w:eastAsia="zh-CN"/>
        </w:rPr>
        <w:t>.</w:t>
      </w:r>
    </w:p>
    <w:p>
      <w:pPr>
        <w:pStyle w:val="Normal"/>
        <w:spacing w:lineRule="auto" w:line="360" w:before="0" w:after="0"/>
        <w:rPr>
          <w:sz w:val="28"/>
          <w:szCs w:val="28"/>
          <w:lang w:eastAsia="zh-CN"/>
        </w:rPr>
      </w:pPr>
      <w:r>
        <w:rPr>
          <w:sz w:val="28"/>
          <w:szCs w:val="28"/>
          <w:lang w:eastAsia="zh-CN"/>
        </w:rPr>
        <w:t>В Алексеевском городском поселении фактические потери на 2018 год составляют 720 м³/год, среднесуточное значение составляет 1,98 м³. Планируемые потери воды при транспортировке, на расчётный 2034 год составят 396 м³, среднесуточное значение - 1,29 м³.</w:t>
      </w:r>
    </w:p>
    <w:p>
      <w:pPr>
        <w:pStyle w:val="Normal"/>
        <w:spacing w:before="0" w:after="0"/>
        <w:jc w:val="right"/>
        <w:rPr>
          <w:lang w:eastAsia="zh-CN"/>
        </w:rPr>
      </w:pPr>
      <w:r>
        <w:rPr>
          <w:sz w:val="28"/>
          <w:szCs w:val="28"/>
          <w:lang w:eastAsia="zh-CN"/>
        </w:rPr>
        <w:t>Табл. 1.13 - Сведения о фактических и планируемых потерях</w:t>
      </w:r>
    </w:p>
    <w:tbl>
      <w:tblPr>
        <w:tblStyle w:val="ae"/>
        <w:tblW w:w="10139" w:type="dxa"/>
        <w:jc w:val="center"/>
        <w:tblInd w:w="0" w:type="dxa"/>
        <w:tblCellMar>
          <w:top w:w="0" w:type="dxa"/>
          <w:left w:w="108" w:type="dxa"/>
          <w:bottom w:w="0" w:type="dxa"/>
          <w:right w:w="108" w:type="dxa"/>
        </w:tblCellMar>
        <w:tblLook w:val="04a0"/>
      </w:tblPr>
      <w:tblGrid>
        <w:gridCol w:w="3379"/>
        <w:gridCol w:w="1690"/>
        <w:gridCol w:w="1690"/>
        <w:gridCol w:w="1690"/>
        <w:gridCol w:w="1690"/>
      </w:tblGrid>
      <w:tr>
        <w:trPr>
          <w:trHeight w:val="267" w:hRule="atLeast"/>
        </w:trPr>
        <w:tc>
          <w:tcPr>
            <w:tcW w:w="3379" w:type="dxa"/>
            <w:vMerge w:val="restart"/>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Потери воды</w:t>
            </w:r>
          </w:p>
        </w:tc>
        <w:tc>
          <w:tcPr>
            <w:tcW w:w="3380" w:type="dxa"/>
            <w:gridSpan w:val="2"/>
            <w:tcBorders/>
            <w:shd w:fill="auto" w:val="clear"/>
            <w:tcMar>
              <w:left w:w="108" w:type="dxa"/>
            </w:tcMar>
            <w:vAlign w:val="center"/>
          </w:tcPr>
          <w:p>
            <w:pPr>
              <w:pStyle w:val="Normal"/>
              <w:spacing w:before="0" w:after="0"/>
              <w:ind w:hanging="0"/>
              <w:jc w:val="center"/>
              <w:rPr>
                <w:b/>
                <w:b/>
                <w:lang w:eastAsia="zh-CN"/>
              </w:rPr>
            </w:pPr>
            <w:r>
              <w:rPr>
                <w:rFonts w:eastAsia="Times New Roman"/>
                <w:b/>
                <w:lang w:eastAsia="zh-CN"/>
              </w:rPr>
              <w:t>2018 год</w:t>
            </w:r>
          </w:p>
        </w:tc>
        <w:tc>
          <w:tcPr>
            <w:tcW w:w="3380" w:type="dxa"/>
            <w:gridSpan w:val="2"/>
            <w:tcBorders/>
            <w:shd w:fill="auto" w:val="clear"/>
            <w:tcMar>
              <w:left w:w="108" w:type="dxa"/>
            </w:tcMar>
            <w:vAlign w:val="center"/>
          </w:tcPr>
          <w:p>
            <w:pPr>
              <w:pStyle w:val="Normal"/>
              <w:spacing w:before="0" w:after="0"/>
              <w:ind w:hanging="0"/>
              <w:jc w:val="center"/>
              <w:rPr>
                <w:b/>
                <w:b/>
                <w:lang w:eastAsia="zh-CN"/>
              </w:rPr>
            </w:pPr>
            <w:r>
              <w:rPr>
                <w:rFonts w:eastAsia="Times New Roman"/>
                <w:b/>
                <w:lang w:eastAsia="zh-CN"/>
              </w:rPr>
              <w:t>2034 год</w:t>
            </w:r>
          </w:p>
        </w:tc>
      </w:tr>
      <w:tr>
        <w:trPr/>
        <w:tc>
          <w:tcPr>
            <w:tcW w:w="3379" w:type="dxa"/>
            <w:vMerge w:val="continue"/>
            <w:tcBorders/>
            <w:shd w:fill="auto" w:val="clear"/>
            <w:tcMar>
              <w:left w:w="108" w:type="dxa"/>
            </w:tcMar>
            <w:vAlign w:val="center"/>
          </w:tcPr>
          <w:p>
            <w:pPr>
              <w:pStyle w:val="Normal"/>
              <w:spacing w:before="0" w:after="200"/>
              <w:jc w:val="center"/>
              <w:rPr>
                <w:rFonts w:eastAsia="Times New Roman"/>
                <w:lang w:eastAsia="zh-CN"/>
              </w:rPr>
            </w:pPr>
            <w:r>
              <w:rPr>
                <w:rFonts w:eastAsia="Times New Roman"/>
                <w:lang w:eastAsia="zh-CN"/>
              </w:rPr>
            </w:r>
          </w:p>
        </w:tc>
        <w:tc>
          <w:tcPr>
            <w:tcW w:w="16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Ср. сут./м³</w:t>
            </w:r>
          </w:p>
        </w:tc>
        <w:tc>
          <w:tcPr>
            <w:tcW w:w="16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Год/ м³</w:t>
            </w:r>
          </w:p>
        </w:tc>
        <w:tc>
          <w:tcPr>
            <w:tcW w:w="16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Ср. сут./м³</w:t>
            </w:r>
          </w:p>
        </w:tc>
        <w:tc>
          <w:tcPr>
            <w:tcW w:w="16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Год/ м³</w:t>
            </w:r>
          </w:p>
        </w:tc>
      </w:tr>
      <w:tr>
        <w:trPr/>
        <w:tc>
          <w:tcPr>
            <w:tcW w:w="3379" w:type="dxa"/>
            <w:vMerge w:val="continue"/>
            <w:tcBorders/>
            <w:shd w:fill="auto" w:val="clear"/>
            <w:tcMar>
              <w:left w:w="108" w:type="dxa"/>
            </w:tcMar>
            <w:vAlign w:val="center"/>
          </w:tcPr>
          <w:p>
            <w:pPr>
              <w:pStyle w:val="Normal"/>
              <w:spacing w:before="0" w:after="0"/>
              <w:ind w:hanging="0"/>
              <w:jc w:val="center"/>
              <w:rPr>
                <w:rFonts w:eastAsia="Times New Roman"/>
                <w:lang w:eastAsia="zh-CN"/>
              </w:rPr>
            </w:pPr>
            <w:r>
              <w:rPr>
                <w:rFonts w:eastAsia="Times New Roman"/>
                <w:lang w:eastAsia="zh-CN"/>
              </w:rPr>
            </w:r>
          </w:p>
        </w:tc>
        <w:tc>
          <w:tcPr>
            <w:tcW w:w="16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1,98</w:t>
            </w:r>
          </w:p>
        </w:tc>
        <w:tc>
          <w:tcPr>
            <w:tcW w:w="16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720</w:t>
            </w:r>
          </w:p>
        </w:tc>
        <w:tc>
          <w:tcPr>
            <w:tcW w:w="16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1,29</w:t>
            </w:r>
          </w:p>
        </w:tc>
        <w:tc>
          <w:tcPr>
            <w:tcW w:w="1690" w:type="dxa"/>
            <w:tcBorders/>
            <w:shd w:fill="auto" w:val="clear"/>
            <w:tcMar>
              <w:left w:w="108" w:type="dxa"/>
            </w:tcMar>
            <w:vAlign w:val="center"/>
          </w:tcPr>
          <w:p>
            <w:pPr>
              <w:pStyle w:val="Normal"/>
              <w:spacing w:before="0" w:after="0"/>
              <w:ind w:hanging="0"/>
              <w:jc w:val="center"/>
              <w:rPr>
                <w:lang w:eastAsia="zh-CN"/>
              </w:rPr>
            </w:pPr>
            <w:r>
              <w:rPr>
                <w:rFonts w:eastAsia="Times New Roman"/>
                <w:lang w:eastAsia="zh-CN"/>
              </w:rPr>
              <w:t>396</w:t>
            </w:r>
          </w:p>
        </w:tc>
      </w:tr>
    </w:tbl>
    <w:p>
      <w:pPr>
        <w:pStyle w:val="Normal"/>
        <w:spacing w:before="0" w:after="0"/>
        <w:rPr>
          <w:lang w:eastAsia="zh-CN"/>
        </w:rPr>
      </w:pPr>
      <w:r>
        <w:rPr>
          <w:lang w:eastAsia="zh-CN"/>
        </w:rPr>
      </w:r>
    </w:p>
    <w:p>
      <w:pPr>
        <w:pStyle w:val="2"/>
        <w:numPr>
          <w:ilvl w:val="2"/>
          <w:numId w:val="2"/>
        </w:numPr>
        <w:tabs>
          <w:tab w:val="left" w:pos="851" w:leader="none"/>
          <w:tab w:val="left" w:pos="1560" w:leader="none"/>
        </w:tabs>
        <w:spacing w:lineRule="auto" w:line="360" w:before="120" w:after="240"/>
        <w:ind w:left="0" w:firstLine="567"/>
        <w:rPr>
          <w:sz w:val="28"/>
          <w:lang w:eastAsia="zh-CN"/>
        </w:rPr>
      </w:pPr>
      <w:bookmarkStart w:id="83" w:name="_Toc381715507"/>
      <w:bookmarkStart w:id="84" w:name="_Toc380482147"/>
      <w:r>
        <w:rPr>
          <w:sz w:val="28"/>
          <w:lang w:eastAsia="zh-CN"/>
        </w:rPr>
        <w:t>Перспективные балансы водоснабжения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83"/>
      <w:bookmarkEnd w:id="84"/>
      <w:r>
        <w:rPr>
          <w:sz w:val="28"/>
          <w:lang w:eastAsia="zh-CN"/>
        </w:rPr>
        <w:t>.</w:t>
      </w:r>
    </w:p>
    <w:p>
      <w:pPr>
        <w:pStyle w:val="Normal"/>
        <w:spacing w:lineRule="auto" w:line="360" w:before="0" w:after="0"/>
        <w:rPr>
          <w:sz w:val="28"/>
          <w:szCs w:val="28"/>
        </w:rPr>
      </w:pPr>
      <w:r>
        <w:rPr>
          <w:sz w:val="28"/>
          <w:szCs w:val="28"/>
        </w:rPr>
        <w:t>Перспективные балансы водоснабжения, в Алексеевском муниципальном образовании, можно подробно рассмотреть в таблице 1.14.</w:t>
      </w:r>
    </w:p>
    <w:p>
      <w:pPr>
        <w:pStyle w:val="Normal"/>
        <w:spacing w:lineRule="auto" w:line="360" w:before="0" w:after="0"/>
        <w:ind w:hanging="0"/>
        <w:jc w:val="right"/>
        <w:rPr>
          <w:sz w:val="28"/>
          <w:szCs w:val="28"/>
        </w:rPr>
      </w:pPr>
      <w:r>
        <w:rPr>
          <w:sz w:val="28"/>
          <w:szCs w:val="28"/>
        </w:rPr>
        <w:t>Таблица 1.14. - Перспективный баланс подачи воды на расчетный 2034 год.</w:t>
      </w:r>
    </w:p>
    <w:tbl>
      <w:tblPr>
        <w:tblW w:w="4050" w:type="pct"/>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0a0"/>
      </w:tblPr>
      <w:tblGrid>
        <w:gridCol w:w="4226"/>
        <w:gridCol w:w="3809"/>
      </w:tblGrid>
      <w:tr>
        <w:trPr>
          <w:tblHeader w:val="true"/>
          <w:trHeight w:val="300" w:hRule="atLeast"/>
        </w:trPr>
        <w:tc>
          <w:tcPr>
            <w:tcW w:w="42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hanging="0"/>
              <w:jc w:val="center"/>
              <w:rPr>
                <w:b/>
                <w:b/>
                <w:color w:val="000000"/>
                <w:lang w:eastAsia="ru-RU"/>
              </w:rPr>
            </w:pPr>
            <w:r>
              <w:rPr>
                <w:b/>
                <w:color w:val="000000"/>
                <w:lang w:eastAsia="ru-RU"/>
              </w:rPr>
              <w:t>Потребитель</w:t>
            </w:r>
          </w:p>
        </w:tc>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28" w:type="dxa"/>
              <w:left w:w="108" w:type="dxa"/>
              <w:bottom w:w="28" w:type="dxa"/>
            </w:tcMar>
            <w:vAlign w:val="center"/>
          </w:tcPr>
          <w:p>
            <w:pPr>
              <w:pStyle w:val="Normal"/>
              <w:spacing w:lineRule="auto" w:line="240" w:before="0" w:after="0"/>
              <w:ind w:hanging="0"/>
              <w:jc w:val="center"/>
              <w:rPr>
                <w:b/>
                <w:b/>
                <w:color w:val="000000"/>
                <w:lang w:eastAsia="ru-RU"/>
              </w:rPr>
            </w:pPr>
            <w:r>
              <w:rPr>
                <w:b/>
                <w:color w:val="000000"/>
                <w:lang w:eastAsia="ru-RU"/>
              </w:rPr>
              <w:t>Водопотребление, м³/год</w:t>
            </w:r>
          </w:p>
        </w:tc>
      </w:tr>
      <w:tr>
        <w:trPr>
          <w:tblHeader w:val="true"/>
          <w:trHeight w:val="300" w:hRule="atLeast"/>
        </w:trPr>
        <w:tc>
          <w:tcPr>
            <w:tcW w:w="803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hanging="0"/>
              <w:jc w:val="center"/>
              <w:rPr>
                <w:b/>
                <w:b/>
                <w:color w:val="000000"/>
                <w:lang w:eastAsia="ru-RU"/>
              </w:rPr>
            </w:pPr>
            <w:r>
              <w:rPr>
                <w:b/>
                <w:color w:val="000000"/>
                <w:lang w:eastAsia="ru-RU"/>
              </w:rPr>
              <w:t>Общий баланс подачи воды</w:t>
            </w:r>
          </w:p>
        </w:tc>
      </w:tr>
      <w:tr>
        <w:trPr>
          <w:tblHeader w:val="true"/>
          <w:trHeight w:val="368" w:hRule="atLeast"/>
        </w:trPr>
        <w:tc>
          <w:tcPr>
            <w:tcW w:w="42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hanging="0"/>
              <w:jc w:val="left"/>
              <w:rPr>
                <w:color w:val="000000"/>
                <w:lang w:eastAsia="ru-RU"/>
              </w:rPr>
            </w:pPr>
            <w:r>
              <w:rPr>
                <w:color w:val="000000"/>
                <w:lang w:eastAsia="ru-RU"/>
              </w:rPr>
              <w:t>Кол-во переданной и потребленной воды</w:t>
            </w:r>
          </w:p>
        </w:tc>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28" w:type="dxa"/>
              <w:left w:w="108" w:type="dxa"/>
              <w:bottom w:w="28" w:type="dxa"/>
            </w:tcMar>
            <w:vAlign w:val="center"/>
          </w:tcPr>
          <w:p>
            <w:pPr>
              <w:pStyle w:val="Normal"/>
              <w:spacing w:lineRule="auto" w:line="240" w:before="0" w:after="0"/>
              <w:ind w:hanging="0"/>
              <w:jc w:val="center"/>
              <w:rPr>
                <w:b/>
                <w:b/>
                <w:color w:val="000000"/>
                <w:lang w:eastAsia="ru-RU"/>
              </w:rPr>
            </w:pPr>
            <w:r>
              <w:rPr>
                <w:lang w:eastAsia="zh-CN"/>
              </w:rPr>
              <w:t>51471,5</w:t>
            </w:r>
          </w:p>
        </w:tc>
      </w:tr>
      <w:tr>
        <w:trPr>
          <w:tblHeader w:val="true"/>
          <w:trHeight w:val="300" w:hRule="atLeast"/>
        </w:trPr>
        <w:tc>
          <w:tcPr>
            <w:tcW w:w="803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hanging="0"/>
              <w:jc w:val="center"/>
              <w:rPr>
                <w:b/>
                <w:b/>
                <w:lang w:eastAsia="zh-CN"/>
              </w:rPr>
            </w:pPr>
            <w:r>
              <w:rPr>
                <w:b/>
                <w:lang w:eastAsia="zh-CN"/>
              </w:rPr>
              <w:t>Территориальный баланс</w:t>
            </w:r>
          </w:p>
        </w:tc>
      </w:tr>
      <w:tr>
        <w:trPr>
          <w:tblHeader w:val="true"/>
          <w:trHeight w:val="300" w:hRule="atLeast"/>
        </w:trPr>
        <w:tc>
          <w:tcPr>
            <w:tcW w:w="42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hanging="0"/>
              <w:jc w:val="left"/>
              <w:rPr>
                <w:color w:val="000000"/>
                <w:lang w:eastAsia="ru-RU"/>
              </w:rPr>
            </w:pPr>
            <w:r>
              <w:rPr>
                <w:color w:val="000000"/>
                <w:lang w:eastAsia="ru-RU"/>
              </w:rPr>
              <w:t>Алексеевское МО</w:t>
            </w:r>
          </w:p>
        </w:tc>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28" w:type="dxa"/>
              <w:left w:w="108" w:type="dxa"/>
              <w:bottom w:w="28" w:type="dxa"/>
            </w:tcMar>
            <w:vAlign w:val="center"/>
          </w:tcPr>
          <w:p>
            <w:pPr>
              <w:pStyle w:val="Normal"/>
              <w:spacing w:lineRule="auto" w:line="240" w:before="0" w:after="0"/>
              <w:ind w:hanging="0"/>
              <w:jc w:val="center"/>
              <w:rPr>
                <w:lang w:eastAsia="zh-CN"/>
              </w:rPr>
            </w:pPr>
            <w:r>
              <w:rPr>
                <w:lang w:eastAsia="zh-CN"/>
              </w:rPr>
              <w:t>51471,5</w:t>
            </w:r>
          </w:p>
        </w:tc>
      </w:tr>
      <w:tr>
        <w:trPr>
          <w:trHeight w:val="300" w:hRule="atLeast"/>
        </w:trPr>
        <w:tc>
          <w:tcPr>
            <w:tcW w:w="803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ind w:hanging="0"/>
              <w:jc w:val="center"/>
              <w:rPr>
                <w:b/>
                <w:b/>
                <w:lang w:eastAsia="zh-CN"/>
              </w:rPr>
            </w:pPr>
            <w:r>
              <w:rPr>
                <w:b/>
                <w:lang w:eastAsia="zh-CN"/>
              </w:rPr>
              <w:t>Структурный баланс</w:t>
            </w:r>
          </w:p>
        </w:tc>
      </w:tr>
      <w:tr>
        <w:trPr>
          <w:trHeight w:val="300" w:hRule="atLeast"/>
        </w:trPr>
        <w:tc>
          <w:tcPr>
            <w:tcW w:w="42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hanging="0"/>
              <w:jc w:val="left"/>
              <w:rPr>
                <w:color w:val="000000"/>
                <w:lang w:eastAsia="ru-RU"/>
              </w:rPr>
            </w:pPr>
            <w:r>
              <w:rPr>
                <w:color w:val="000000"/>
                <w:lang w:eastAsia="ru-RU"/>
              </w:rPr>
              <w:t>Население</w:t>
            </w:r>
          </w:p>
        </w:tc>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28" w:type="dxa"/>
              <w:left w:w="108" w:type="dxa"/>
              <w:bottom w:w="28" w:type="dxa"/>
            </w:tcMar>
            <w:vAlign w:val="center"/>
          </w:tcPr>
          <w:p>
            <w:pPr>
              <w:pStyle w:val="Normal"/>
              <w:spacing w:before="0" w:after="0"/>
              <w:ind w:hanging="0"/>
              <w:jc w:val="center"/>
              <w:rPr>
                <w:lang w:eastAsia="zh-CN"/>
              </w:rPr>
            </w:pPr>
            <w:r>
              <w:rPr>
                <w:lang w:eastAsia="zh-CN"/>
              </w:rPr>
              <w:t>47482</w:t>
            </w:r>
          </w:p>
        </w:tc>
      </w:tr>
      <w:tr>
        <w:trPr>
          <w:trHeight w:val="300" w:hRule="atLeast"/>
        </w:trPr>
        <w:tc>
          <w:tcPr>
            <w:tcW w:w="42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hanging="0"/>
              <w:jc w:val="left"/>
              <w:rPr>
                <w:color w:val="000000"/>
                <w:lang w:eastAsia="ru-RU"/>
              </w:rPr>
            </w:pPr>
            <w:r>
              <w:rPr>
                <w:color w:val="000000"/>
                <w:lang w:eastAsia="ru-RU"/>
              </w:rPr>
              <w:t>Организации</w:t>
            </w:r>
          </w:p>
        </w:tc>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28" w:type="dxa"/>
              <w:left w:w="108" w:type="dxa"/>
              <w:bottom w:w="28" w:type="dxa"/>
            </w:tcMar>
            <w:vAlign w:val="center"/>
          </w:tcPr>
          <w:p>
            <w:pPr>
              <w:pStyle w:val="Normal"/>
              <w:spacing w:before="0" w:after="0"/>
              <w:ind w:hanging="0"/>
              <w:jc w:val="center"/>
              <w:rPr>
                <w:lang w:eastAsia="zh-CN"/>
              </w:rPr>
            </w:pPr>
            <w:r>
              <w:rPr>
                <w:lang w:eastAsia="zh-CN"/>
              </w:rPr>
              <w:t>1384</w:t>
            </w:r>
          </w:p>
        </w:tc>
      </w:tr>
      <w:tr>
        <w:trPr>
          <w:trHeight w:val="300" w:hRule="atLeast"/>
        </w:trPr>
        <w:tc>
          <w:tcPr>
            <w:tcW w:w="42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hanging="0"/>
              <w:jc w:val="left"/>
              <w:rPr>
                <w:color w:val="000000"/>
                <w:lang w:eastAsia="ru-RU"/>
              </w:rPr>
            </w:pPr>
            <w:r>
              <w:rPr>
                <w:color w:val="000000"/>
                <w:lang w:eastAsia="ru-RU"/>
              </w:rPr>
              <w:t>Бюджетные организации</w:t>
            </w:r>
          </w:p>
        </w:tc>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28" w:type="dxa"/>
              <w:left w:w="108" w:type="dxa"/>
              <w:bottom w:w="28" w:type="dxa"/>
            </w:tcMar>
            <w:vAlign w:val="center"/>
          </w:tcPr>
          <w:p>
            <w:pPr>
              <w:pStyle w:val="Normal"/>
              <w:spacing w:before="0" w:after="0"/>
              <w:ind w:hanging="0"/>
              <w:jc w:val="center"/>
              <w:rPr>
                <w:lang w:eastAsia="zh-CN"/>
              </w:rPr>
            </w:pPr>
            <w:r>
              <w:rPr>
                <w:lang w:eastAsia="zh-CN"/>
              </w:rPr>
              <w:t>2177</w:t>
            </w:r>
          </w:p>
        </w:tc>
      </w:tr>
    </w:tbl>
    <w:p>
      <w:pPr>
        <w:pStyle w:val="Normal"/>
        <w:spacing w:before="0" w:after="0"/>
        <w:rPr>
          <w:b/>
          <w:b/>
          <w:szCs w:val="28"/>
        </w:rPr>
      </w:pPr>
      <w:r>
        <w:rPr>
          <w:b/>
          <w:szCs w:val="28"/>
        </w:rPr>
      </w:r>
    </w:p>
    <w:p>
      <w:pPr>
        <w:pStyle w:val="2"/>
        <w:numPr>
          <w:ilvl w:val="2"/>
          <w:numId w:val="2"/>
        </w:numPr>
        <w:tabs>
          <w:tab w:val="left" w:pos="1560" w:leader="none"/>
        </w:tabs>
        <w:spacing w:lineRule="auto" w:line="360" w:before="120" w:after="240"/>
        <w:ind w:left="0" w:firstLine="567"/>
        <w:rPr>
          <w:sz w:val="28"/>
          <w:lang w:eastAsia="zh-CN"/>
        </w:rPr>
      </w:pPr>
      <w:bookmarkStart w:id="85" w:name="_Toc381715508"/>
      <w:bookmarkStart w:id="86" w:name="_Toc380482148"/>
      <w:r>
        <w:rPr>
          <w:sz w:val="28"/>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85"/>
      <w:bookmarkEnd w:id="86"/>
      <w:r>
        <w:rPr>
          <w:sz w:val="28"/>
          <w:lang w:eastAsia="zh-CN"/>
        </w:rPr>
        <w:t>.</w:t>
      </w:r>
    </w:p>
    <w:p>
      <w:pPr>
        <w:pStyle w:val="Normal"/>
        <w:spacing w:lineRule="auto" w:line="360" w:before="0" w:after="0"/>
        <w:rPr>
          <w:sz w:val="28"/>
          <w:lang w:eastAsia="zh-CN"/>
        </w:rPr>
      </w:pPr>
      <w:r>
        <w:rPr>
          <w:sz w:val="28"/>
          <w:lang w:eastAsia="zh-CN"/>
        </w:rPr>
        <w:t xml:space="preserve">В Алексеевском муниципальном образовании вода поступает в резервуар «самотеком» после чего проходит грубую очистку и поступает в сеть водоснабжения, иные сооружения по очистке и обеззараживанию отсутствуют, так как качество воды соответствует нормам. </w:t>
      </w:r>
    </w:p>
    <w:p>
      <w:pPr>
        <w:pStyle w:val="Normal"/>
        <w:spacing w:lineRule="auto" w:line="360" w:before="0" w:after="0"/>
        <w:rPr>
          <w:sz w:val="28"/>
          <w:lang w:eastAsia="zh-CN"/>
        </w:rPr>
      </w:pPr>
      <w:r>
        <w:rPr>
          <w:sz w:val="28"/>
          <w:lang w:eastAsia="zh-CN"/>
        </w:rPr>
        <w:t>Расчетные и фактические (планируемые) данные о потребление воды, показывают, что дефицита потребления воды нет. Данные указаны в таблице 1.11.</w:t>
      </w:r>
    </w:p>
    <w:p>
      <w:pPr>
        <w:pStyle w:val="2"/>
        <w:numPr>
          <w:ilvl w:val="2"/>
          <w:numId w:val="2"/>
        </w:numPr>
        <w:spacing w:lineRule="auto" w:line="360" w:before="120" w:after="240"/>
        <w:ind w:left="0" w:firstLine="567"/>
        <w:rPr>
          <w:sz w:val="28"/>
          <w:lang w:eastAsia="zh-CN"/>
        </w:rPr>
      </w:pPr>
      <w:bookmarkStart w:id="87" w:name="_Toc381715509"/>
      <w:bookmarkStart w:id="88" w:name="_Toc380482149"/>
      <w:r>
        <w:rPr>
          <w:sz w:val="28"/>
          <w:lang w:eastAsia="zh-CN"/>
        </w:rPr>
        <w:t>Наименование организации, наделенной статусом гарантирующей организации</w:t>
      </w:r>
      <w:bookmarkEnd w:id="87"/>
      <w:bookmarkEnd w:id="88"/>
      <w:r>
        <w:rPr>
          <w:sz w:val="28"/>
          <w:lang w:eastAsia="zh-CN"/>
        </w:rPr>
        <w:t>.</w:t>
      </w:r>
    </w:p>
    <w:p>
      <w:pPr>
        <w:pStyle w:val="Normal"/>
        <w:spacing w:lineRule="auto" w:line="360" w:before="0" w:after="0"/>
        <w:rPr>
          <w:sz w:val="28"/>
          <w:szCs w:val="28"/>
        </w:rPr>
      </w:pPr>
      <w:r>
        <w:rPr>
          <w:sz w:val="28"/>
          <w:lang w:eastAsia="zh-CN"/>
        </w:rPr>
        <w:t xml:space="preserve">Гарантирующей организацией, для централизованной системы водоснабжения, находящейся в собственности Алексеевского муниципального образования, является ООО "Норд Трейд".  Договор водопользования </w:t>
      </w:r>
      <w:r>
        <w:rPr>
          <w:sz w:val="28"/>
          <w:szCs w:val="28"/>
        </w:rPr>
        <w:t>№ 38-18.03.01.004 - Р-ДХВО-С-2014-01636/00 от 15.08.2014г с Министерством природных ресурсов и экологии Иркутской области.</w:t>
      </w:r>
    </w:p>
    <w:p>
      <w:pPr>
        <w:pStyle w:val="Normal"/>
        <w:spacing w:lineRule="auto" w:line="360" w:before="0" w:after="0"/>
        <w:rPr>
          <w:sz w:val="28"/>
          <w:lang w:eastAsia="zh-CN"/>
        </w:rPr>
      </w:pPr>
      <w:r>
        <w:rPr>
          <w:sz w:val="28"/>
          <w:lang w:eastAsia="zh-CN"/>
        </w:rPr>
      </w:r>
    </w:p>
    <w:p>
      <w:pPr>
        <w:pStyle w:val="2"/>
        <w:numPr>
          <w:ilvl w:val="1"/>
          <w:numId w:val="2"/>
        </w:numPr>
        <w:spacing w:lineRule="auto" w:line="360" w:before="0" w:after="200"/>
        <w:ind w:left="0" w:firstLine="567"/>
        <w:rPr>
          <w:sz w:val="28"/>
          <w:szCs w:val="24"/>
        </w:rPr>
      </w:pPr>
      <w:bookmarkStart w:id="89" w:name="_Toc381715510"/>
      <w:bookmarkStart w:id="90" w:name="_Toc380482150"/>
      <w:r>
        <w:rPr>
          <w:rStyle w:val="FontStyle157"/>
          <w:rFonts w:eastAsia="Calibri"/>
          <w:b/>
          <w:sz w:val="28"/>
          <w:szCs w:val="24"/>
          <w:lang w:eastAsia="en-US"/>
        </w:rPr>
        <w:t xml:space="preserve"> </w:t>
      </w:r>
      <w:r>
        <w:rPr>
          <w:rStyle w:val="FontStyle157"/>
          <w:rFonts w:eastAsia="Calibri"/>
          <w:b/>
          <w:sz w:val="28"/>
          <w:szCs w:val="24"/>
          <w:lang w:eastAsia="en-US"/>
        </w:rPr>
        <w:t>ПРЕДЛОЖЕНИЯ ПО СТРОИТЕЛЬСТВУ, РЕКОНСТРУКЦИИ И МОДЕРНИЗАЦИИ ОБЪЕКТОВ СИСТЕМ ВОДОСНАБЖЕНИЯ</w:t>
      </w:r>
      <w:bookmarkEnd w:id="89"/>
      <w:bookmarkEnd w:id="90"/>
      <w:r>
        <w:rPr>
          <w:sz w:val="28"/>
          <w:szCs w:val="24"/>
        </w:rPr>
        <w:t>.</w:t>
      </w:r>
    </w:p>
    <w:p>
      <w:pPr>
        <w:pStyle w:val="Normal"/>
        <w:spacing w:lineRule="auto" w:line="360" w:before="0" w:after="0"/>
        <w:rPr>
          <w:sz w:val="28"/>
        </w:rPr>
      </w:pPr>
      <w:r>
        <w:rPr>
          <w:sz w:val="28"/>
        </w:rPr>
        <w:t>Раздел формируется с учётом плановых мероприятий Алексеевского городского поселения, а так же с учетом результатов расчета перспективной сети водоснабжения.</w:t>
      </w:r>
    </w:p>
    <w:p>
      <w:pPr>
        <w:pStyle w:val="13"/>
        <w:spacing w:lineRule="auto" w:line="360"/>
        <w:ind w:left="0" w:firstLine="567"/>
        <w:jc w:val="both"/>
        <w:rPr>
          <w:b/>
          <w:b/>
          <w:sz w:val="28"/>
          <w:szCs w:val="28"/>
        </w:rPr>
      </w:pPr>
      <w:r>
        <w:rPr>
          <w:b/>
          <w:sz w:val="28"/>
          <w:szCs w:val="28"/>
        </w:rPr>
        <w:t>Поселок городского типа Алексеевск:</w:t>
      </w:r>
    </w:p>
    <w:p>
      <w:pPr>
        <w:pStyle w:val="13"/>
        <w:spacing w:lineRule="auto" w:line="360"/>
        <w:ind w:left="0" w:firstLine="567"/>
        <w:jc w:val="both"/>
        <w:rPr>
          <w:sz w:val="28"/>
          <w:szCs w:val="28"/>
        </w:rPr>
      </w:pPr>
      <w:r>
        <w:rPr>
          <w:sz w:val="28"/>
          <w:szCs w:val="28"/>
        </w:rPr>
        <w:t>1. Строительство резервного участка сети водоснабжения, протяженностью 380м.</w:t>
      </w:r>
    </w:p>
    <w:p>
      <w:pPr>
        <w:pStyle w:val="13"/>
        <w:spacing w:lineRule="auto" w:line="360"/>
        <w:ind w:left="0" w:firstLine="567"/>
        <w:jc w:val="both"/>
        <w:rPr>
          <w:color w:val="FF0000"/>
          <w:sz w:val="28"/>
          <w:szCs w:val="28"/>
        </w:rPr>
      </w:pPr>
      <w:r>
        <w:rPr>
          <w:color w:val="FF0000"/>
          <w:sz w:val="28"/>
          <w:szCs w:val="28"/>
        </w:rPr>
      </w:r>
    </w:p>
    <w:p>
      <w:pPr>
        <w:pStyle w:val="Normal"/>
        <w:spacing w:lineRule="auto" w:line="360" w:before="0" w:after="0"/>
        <w:rPr>
          <w:sz w:val="28"/>
          <w:szCs w:val="28"/>
        </w:rPr>
      </w:pPr>
      <w:r>
        <w:rPr>
          <w:sz w:val="28"/>
          <w:szCs w:val="28"/>
        </w:rPr>
      </w:r>
    </w:p>
    <w:p>
      <w:pPr>
        <w:sectPr>
          <w:type w:val="continuous"/>
          <w:pgSz w:w="11906" w:h="16838"/>
          <w:pgMar w:left="1134" w:right="850" w:header="0" w:top="1134" w:footer="708" w:bottom="993" w:gutter="0"/>
          <w:formProt w:val="false"/>
          <w:textDirection w:val="lrTb"/>
          <w:docGrid w:type="default" w:linePitch="312" w:charSpace="4294965247"/>
        </w:sectPr>
      </w:pPr>
    </w:p>
    <w:p>
      <w:pPr>
        <w:pStyle w:val="2"/>
        <w:numPr>
          <w:ilvl w:val="2"/>
          <w:numId w:val="3"/>
        </w:numPr>
        <w:spacing w:lineRule="auto" w:line="360" w:before="0" w:after="0"/>
        <w:ind w:left="0" w:firstLine="567"/>
        <w:rPr>
          <w:sz w:val="28"/>
        </w:rPr>
      </w:pPr>
      <w:bookmarkStart w:id="91" w:name="_Toc381715511"/>
      <w:bookmarkStart w:id="92" w:name="_Toc380482151"/>
      <w:r>
        <w:rPr>
          <w:sz w:val="28"/>
        </w:rPr>
        <w:t>Перечень основных мероприятий по реализации схем водоснабжения с разбивкой по годам</w:t>
      </w:r>
      <w:bookmarkEnd w:id="91"/>
      <w:bookmarkEnd w:id="92"/>
      <w:r>
        <w:rPr>
          <w:sz w:val="28"/>
        </w:rPr>
        <w:t>.</w:t>
      </w:r>
    </w:p>
    <w:p>
      <w:pPr>
        <w:pStyle w:val="Normal"/>
        <w:spacing w:before="0" w:after="0"/>
        <w:jc w:val="right"/>
        <w:rPr>
          <w:rFonts w:eastAsia="Calibri"/>
          <w:sz w:val="28"/>
          <w:szCs w:val="28"/>
          <w:lang w:eastAsia="ru-RU"/>
        </w:rPr>
      </w:pPr>
      <w:r>
        <w:rPr>
          <w:rFonts w:eastAsia="Calibri"/>
          <w:sz w:val="28"/>
          <w:szCs w:val="28"/>
          <w:lang w:eastAsia="ru-RU"/>
        </w:rPr>
        <w:t xml:space="preserve">Табл. 1.15 - </w:t>
      </w:r>
      <w:r>
        <w:rPr>
          <w:sz w:val="28"/>
        </w:rPr>
        <w:t>Перечень основных мероприятий</w:t>
      </w:r>
    </w:p>
    <w:tbl>
      <w:tblPr>
        <w:tblW w:w="15627" w:type="dxa"/>
        <w:jc w:val="left"/>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4a0"/>
      </w:tblPr>
      <w:tblGrid>
        <w:gridCol w:w="851"/>
        <w:gridCol w:w="5137"/>
        <w:gridCol w:w="675"/>
        <w:gridCol w:w="850"/>
        <w:gridCol w:w="852"/>
        <w:gridCol w:w="850"/>
        <w:gridCol w:w="567"/>
        <w:gridCol w:w="567"/>
        <w:gridCol w:w="568"/>
        <w:gridCol w:w="567"/>
        <w:gridCol w:w="567"/>
        <w:gridCol w:w="567"/>
        <w:gridCol w:w="568"/>
        <w:gridCol w:w="425"/>
        <w:gridCol w:w="567"/>
        <w:gridCol w:w="567"/>
        <w:gridCol w:w="425"/>
        <w:gridCol w:w="453"/>
      </w:tblGrid>
      <w:tr>
        <w:trPr>
          <w:trHeight w:val="299" w:hRule="atLeast"/>
        </w:trPr>
        <w:tc>
          <w:tcPr>
            <w:tcW w:w="85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b/>
                <w:b/>
                <w:sz w:val="24"/>
              </w:rPr>
            </w:pPr>
            <w:r>
              <w:rPr>
                <w:b/>
                <w:sz w:val="24"/>
              </w:rPr>
              <w:t xml:space="preserve">№ </w:t>
            </w:r>
            <w:r>
              <w:rPr>
                <w:b/>
                <w:sz w:val="24"/>
              </w:rPr>
              <w:t>п/п</w:t>
            </w:r>
          </w:p>
        </w:tc>
        <w:tc>
          <w:tcPr>
            <w:tcW w:w="513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b/>
                <w:b/>
                <w:sz w:val="24"/>
              </w:rPr>
            </w:pPr>
            <w:r>
              <w:rPr>
                <w:b/>
                <w:sz w:val="24"/>
              </w:rPr>
              <w:t>Наименование мероприятия</w:t>
            </w:r>
          </w:p>
        </w:tc>
        <w:tc>
          <w:tcPr>
            <w:tcW w:w="9635" w:type="dxa"/>
            <w:gridSpan w:val="1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b/>
                <w:b/>
                <w:sz w:val="24"/>
              </w:rPr>
            </w:pPr>
            <w:r>
              <w:rPr>
                <w:b/>
                <w:sz w:val="24"/>
              </w:rPr>
              <w:t>Год реализации (сумма затрат тыс. руб.)</w:t>
            </w:r>
          </w:p>
        </w:tc>
      </w:tr>
      <w:tr>
        <w:trPr>
          <w:trHeight w:val="435" w:hRule="atLeast"/>
        </w:trPr>
        <w:tc>
          <w:tcPr>
            <w:tcW w:w="85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b/>
                <w:b/>
                <w:sz w:val="28"/>
                <w:szCs w:val="28"/>
              </w:rPr>
            </w:pPr>
            <w:r>
              <w:rPr>
                <w:b/>
                <w:sz w:val="28"/>
                <w:szCs w:val="28"/>
              </w:rPr>
            </w:r>
          </w:p>
        </w:tc>
        <w:tc>
          <w:tcPr>
            <w:tcW w:w="513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b/>
                <w:b/>
                <w:sz w:val="28"/>
                <w:szCs w:val="28"/>
              </w:rPr>
            </w:pPr>
            <w:r>
              <w:rPr>
                <w:b/>
                <w:sz w:val="28"/>
                <w:szCs w:val="28"/>
              </w:rPr>
            </w:r>
          </w:p>
        </w:tc>
        <w:tc>
          <w:tcPr>
            <w:tcW w:w="6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2019</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2020</w:t>
            </w:r>
          </w:p>
        </w:tc>
        <w:tc>
          <w:tcPr>
            <w:tcW w:w="8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2021</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2022</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2023</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2024</w:t>
            </w:r>
          </w:p>
        </w:tc>
        <w:tc>
          <w:tcPr>
            <w:tcW w:w="5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2025</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2026</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2027</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2028</w:t>
            </w:r>
          </w:p>
        </w:tc>
        <w:tc>
          <w:tcPr>
            <w:tcW w:w="5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2029</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2030</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2031</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2032</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2033</w:t>
            </w:r>
          </w:p>
        </w:tc>
        <w:tc>
          <w:tcPr>
            <w:tcW w:w="4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108" w:right="-108" w:hanging="0"/>
              <w:jc w:val="center"/>
              <w:rPr>
                <w:b/>
                <w:b/>
                <w:sz w:val="18"/>
                <w:szCs w:val="18"/>
              </w:rPr>
            </w:pPr>
            <w:r>
              <w:rPr>
                <w:b/>
                <w:sz w:val="18"/>
                <w:szCs w:val="18"/>
              </w:rPr>
              <w:t>2034</w:t>
            </w:r>
          </w:p>
        </w:tc>
      </w:tr>
      <w:tr>
        <w:trPr/>
        <w:tc>
          <w:tcPr>
            <w:tcW w:w="7513"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b/>
                <w:b/>
                <w:szCs w:val="26"/>
              </w:rPr>
            </w:pPr>
            <w:r>
              <w:rPr>
                <w:b/>
                <w:szCs w:val="26"/>
              </w:rPr>
              <w:t xml:space="preserve">п. Алексеевск </w:t>
            </w:r>
          </w:p>
        </w:tc>
        <w:tc>
          <w:tcPr>
            <w:tcW w:w="8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c>
          <w:tcPr>
            <w:tcW w:w="5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c>
          <w:tcPr>
            <w:tcW w:w="5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c>
          <w:tcPr>
            <w:tcW w:w="4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13"/>
              <w:ind w:left="0" w:hanging="0"/>
              <w:jc w:val="center"/>
              <w:rPr>
                <w:b/>
                <w:b/>
                <w:szCs w:val="26"/>
              </w:rPr>
            </w:pPr>
            <w:r>
              <w:rPr>
                <w:b/>
                <w:szCs w:val="26"/>
              </w:rPr>
            </w:r>
          </w:p>
        </w:tc>
      </w:tr>
      <w:tr>
        <w:trPr>
          <w:trHeight w:val="337" w:hRule="atLeast"/>
          <w:cantSplit w:val="true"/>
        </w:trPr>
        <w:tc>
          <w:tcPr>
            <w:tcW w:w="8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28"/>
                <w:szCs w:val="28"/>
              </w:rPr>
            </w:pPr>
            <w:r>
              <w:rPr>
                <w:sz w:val="28"/>
                <w:szCs w:val="28"/>
              </w:rPr>
              <w:t>1</w:t>
            </w:r>
          </w:p>
        </w:tc>
        <w:tc>
          <w:tcPr>
            <w:tcW w:w="51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rPr>
                <w:sz w:val="24"/>
              </w:rPr>
            </w:pPr>
            <w:r>
              <w:rPr>
                <w:sz w:val="24"/>
              </w:rPr>
              <w:t>Строительство резервного участка 380м</w:t>
            </w:r>
          </w:p>
        </w:tc>
        <w:tc>
          <w:tcPr>
            <w:tcW w:w="6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0</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1596,255</w:t>
            </w:r>
          </w:p>
        </w:tc>
        <w:tc>
          <w:tcPr>
            <w:tcW w:w="8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1596,255</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1596,254</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0</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0</w:t>
            </w:r>
          </w:p>
        </w:tc>
        <w:tc>
          <w:tcPr>
            <w:tcW w:w="5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0</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0</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0</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0</w:t>
            </w:r>
          </w:p>
        </w:tc>
        <w:tc>
          <w:tcPr>
            <w:tcW w:w="5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0</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0</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0</w:t>
            </w:r>
          </w:p>
        </w:tc>
        <w:tc>
          <w:tcPr>
            <w:tcW w:w="5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0</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0</w:t>
            </w:r>
          </w:p>
        </w:tc>
        <w:tc>
          <w:tcPr>
            <w:tcW w:w="4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sz w:val="16"/>
                <w:szCs w:val="16"/>
              </w:rPr>
            </w:pPr>
            <w:r>
              <w:rPr>
                <w:sz w:val="16"/>
                <w:szCs w:val="16"/>
              </w:rPr>
              <w:t>0</w:t>
            </w:r>
          </w:p>
        </w:tc>
      </w:tr>
      <w:tr>
        <w:trPr>
          <w:trHeight w:val="257" w:hRule="atLeast"/>
          <w:cantSplit w:val="true"/>
        </w:trPr>
        <w:tc>
          <w:tcPr>
            <w:tcW w:w="598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rPr>
                <w:b/>
                <w:b/>
                <w:sz w:val="24"/>
              </w:rPr>
            </w:pPr>
            <w:r>
              <w:rPr>
                <w:b/>
                <w:sz w:val="24"/>
              </w:rPr>
              <w:t>ИТОГО (тыс.руб):</w:t>
            </w:r>
          </w:p>
        </w:tc>
        <w:tc>
          <w:tcPr>
            <w:tcW w:w="9635" w:type="dxa"/>
            <w:gridSpan w:val="1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13"/>
              <w:ind w:left="0" w:hanging="0"/>
              <w:jc w:val="center"/>
              <w:rPr>
                <w:b/>
                <w:b/>
                <w:sz w:val="24"/>
              </w:rPr>
            </w:pPr>
            <w:r>
              <w:rPr>
                <w:b/>
                <w:sz w:val="24"/>
              </w:rPr>
              <w:t>4788,764</w:t>
            </w:r>
          </w:p>
        </w:tc>
      </w:tr>
    </w:tbl>
    <w:p>
      <w:pPr>
        <w:pStyle w:val="26"/>
        <w:spacing w:lineRule="auto" w:line="300"/>
        <w:ind w:left="357" w:firstLine="777"/>
        <w:jc w:val="both"/>
        <w:rPr>
          <w:szCs w:val="26"/>
        </w:rPr>
      </w:pPr>
      <w:r>
        <w:rPr>
          <w:szCs w:val="26"/>
        </w:rPr>
        <w:t>Данный перечень основных мероприятий по реализации схем водоснабжения с разбивкой по годам необходимо актуализировать с учетом особенностей бюджета, а так же возможных изменений в генеральном планировании.</w:t>
      </w:r>
    </w:p>
    <w:p>
      <w:pPr>
        <w:pStyle w:val="26"/>
        <w:spacing w:lineRule="auto" w:line="300"/>
        <w:ind w:left="284" w:firstLine="850"/>
        <w:jc w:val="both"/>
        <w:rPr>
          <w:szCs w:val="26"/>
        </w:rPr>
      </w:pPr>
      <w:r>
        <w:rPr>
          <w:szCs w:val="26"/>
        </w:rPr>
        <w:t>В соответствии с пунктом 8 Постановления Правительства Российской Федерации от 5 сентября 2013 г. № 782 г. "О схемах водоснабжения и водоотведения": Актуализация (корректировка) схем водоснабжения и водоотведения осуществляется при наличии одного из следующих условий:</w:t>
      </w:r>
    </w:p>
    <w:p>
      <w:pPr>
        <w:pStyle w:val="26"/>
        <w:spacing w:lineRule="auto" w:line="300"/>
        <w:ind w:left="357" w:firstLine="777"/>
        <w:rPr>
          <w:szCs w:val="26"/>
        </w:rPr>
      </w:pPr>
      <w:r>
        <w:rPr>
          <w:szCs w:val="26"/>
        </w:rPr>
        <w:t>а) ввод в эксплуатацию построенных, реконструированных и модернизированных объектов централизованных систем водоснабжения и (или) водоотведения;</w:t>
      </w:r>
    </w:p>
    <w:p>
      <w:pPr>
        <w:pStyle w:val="26"/>
        <w:spacing w:lineRule="auto" w:line="300"/>
        <w:ind w:left="357" w:firstLine="777"/>
        <w:rPr>
          <w:szCs w:val="26"/>
        </w:rPr>
      </w:pPr>
      <w:r>
        <w:rPr>
          <w:szCs w:val="26"/>
        </w:rPr>
        <w:t>б) 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w:t>
      </w:r>
    </w:p>
    <w:p>
      <w:pPr>
        <w:pStyle w:val="26"/>
        <w:spacing w:lineRule="auto" w:line="300"/>
        <w:ind w:left="357" w:firstLine="777"/>
        <w:rPr>
          <w:szCs w:val="26"/>
        </w:rPr>
      </w:pPr>
      <w:r>
        <w:rPr>
          <w:szCs w:val="26"/>
        </w:rPr>
        <w:t>в) проведение технического обследования централизованных систем водоснабжения и (или) водоотведения в период действия схем водоснабжения и водоотведения;</w:t>
      </w:r>
    </w:p>
    <w:p>
      <w:pPr>
        <w:pStyle w:val="26"/>
        <w:spacing w:lineRule="auto" w:line="300"/>
        <w:ind w:left="357" w:firstLine="777"/>
        <w:rPr>
          <w:szCs w:val="26"/>
        </w:rPr>
      </w:pPr>
      <w:r>
        <w:rPr>
          <w:szCs w:val="26"/>
        </w:rPr>
        <w:t>г) реализация мероприятий, предусмотренных планами по снижению сбросов загрязняющих веществ, указанными в подпункте "д" пункта 7 настоящих Правил;</w:t>
      </w:r>
    </w:p>
    <w:p>
      <w:pPr>
        <w:sectPr>
          <w:type w:val="nextPage"/>
          <w:pgSz w:orient="landscape" w:w="16838" w:h="11906"/>
          <w:pgMar w:left="567" w:right="709" w:header="0" w:top="849" w:footer="0" w:bottom="1134" w:gutter="0"/>
          <w:pgNumType w:fmt="decimal"/>
          <w:formProt w:val="false"/>
          <w:textDirection w:val="lrTb"/>
          <w:docGrid w:type="default" w:linePitch="360" w:charSpace="4096"/>
        </w:sectPr>
        <w:pStyle w:val="26"/>
        <w:spacing w:lineRule="auto" w:line="300"/>
        <w:ind w:left="357" w:firstLine="777"/>
        <w:rPr>
          <w:szCs w:val="26"/>
        </w:rPr>
      </w:pPr>
      <w:r>
        <w:rPr>
          <w:szCs w:val="26"/>
        </w:rPr>
        <w:t>д) реализация мероприятий, предусмотренных планами по приведению качества питьевой воды и горячей воды в соответствие с установленными требованиями.</w:t>
      </w:r>
    </w:p>
    <w:p>
      <w:pPr>
        <w:pStyle w:val="13"/>
        <w:spacing w:lineRule="auto" w:line="360"/>
        <w:ind w:left="357" w:hanging="0"/>
        <w:jc w:val="both"/>
        <w:rPr>
          <w:sz w:val="28"/>
        </w:rPr>
      </w:pPr>
      <w:r>
        <w:rPr>
          <w:sz w:val="28"/>
        </w:rPr>
      </w:r>
    </w:p>
    <w:p>
      <w:pPr>
        <w:pStyle w:val="2"/>
        <w:numPr>
          <w:ilvl w:val="2"/>
          <w:numId w:val="5"/>
        </w:numPr>
        <w:spacing w:lineRule="auto" w:line="360" w:before="0" w:after="0"/>
        <w:ind w:left="0" w:firstLine="567"/>
        <w:rPr>
          <w:sz w:val="28"/>
        </w:rPr>
      </w:pPr>
      <w:bookmarkStart w:id="93" w:name="_Toc381715512"/>
      <w:bookmarkStart w:id="94" w:name="_Toc380482152"/>
      <w:r>
        <w:rPr>
          <w:sz w:val="28"/>
        </w:rPr>
        <w:t>Технические обоснования основных мероприятий по реализации схем водоснабжения</w:t>
      </w:r>
      <w:bookmarkEnd w:id="93"/>
      <w:bookmarkEnd w:id="94"/>
      <w:r>
        <w:rPr>
          <w:sz w:val="28"/>
        </w:rPr>
        <w:t>.</w:t>
      </w:r>
    </w:p>
    <w:p>
      <w:pPr>
        <w:pStyle w:val="Normal"/>
        <w:spacing w:lineRule="auto" w:line="360" w:before="0" w:after="0"/>
        <w:rPr>
          <w:sz w:val="28"/>
        </w:rPr>
      </w:pPr>
      <w:r>
        <w:rPr>
          <w:sz w:val="28"/>
        </w:rPr>
        <w:t>При рабочем проектировании необходимо выполнить расчет водопроводной сети с применением специализированных программных комплексов и уточнить диаметры по участкам.</w:t>
      </w:r>
    </w:p>
    <w:p>
      <w:pPr>
        <w:pStyle w:val="Normal"/>
        <w:spacing w:lineRule="auto" w:line="360" w:before="0" w:after="0"/>
        <w:rPr>
          <w:sz w:val="28"/>
        </w:rPr>
      </w:pPr>
      <w:r>
        <w:rPr>
          <w:sz w:val="28"/>
        </w:rPr>
        <w:t>Прокладка сетей водопровода осуществляется под землей. Маршруты прохождения новых и реконструируемых линейных объектов централизованной системы водоснабжения по территории поселения необходимо выполнять в зеленой зоне (газон) и в соответствии с требованиями СП 42.13330.2011 «Градостроительство. Планировка и застройка городских и сельских поселений. Актуализированная редакция СНиП 2.07.01-89*» и СП 31.13330.2012 «Водоснабжение. Наружные сети и сооружения. Актуализированная редакция СНиП 2.04.02-84*».</w:t>
      </w:r>
    </w:p>
    <w:p>
      <w:pPr>
        <w:pStyle w:val="Normal"/>
        <w:spacing w:lineRule="auto" w:line="360" w:before="0" w:after="0"/>
        <w:rPr>
          <w:sz w:val="28"/>
        </w:rPr>
      </w:pPr>
      <w:r>
        <w:rPr>
          <w:sz w:val="28"/>
        </w:rPr>
        <w:t xml:space="preserve">На реконструируемых участках потребуется выполнить замену запорно-регулирующей арматуры (в связи с износом, коррозией существующей). </w:t>
      </w:r>
    </w:p>
    <w:p>
      <w:pPr>
        <w:pStyle w:val="2"/>
        <w:numPr>
          <w:ilvl w:val="3"/>
          <w:numId w:val="5"/>
        </w:numPr>
        <w:spacing w:lineRule="auto" w:line="360" w:before="120" w:after="240"/>
        <w:ind w:left="0" w:firstLine="567"/>
        <w:rPr>
          <w:sz w:val="28"/>
          <w:szCs w:val="28"/>
        </w:rPr>
      </w:pPr>
      <w:bookmarkStart w:id="95" w:name="_Toc381715513"/>
      <w:bookmarkStart w:id="96" w:name="_Toc380482153"/>
      <w:r>
        <w:rPr>
          <w:sz w:val="28"/>
          <w:szCs w:val="28"/>
        </w:rPr>
        <w:t xml:space="preserve"> </w:t>
      </w:r>
      <w:bookmarkEnd w:id="95"/>
      <w:bookmarkEnd w:id="96"/>
      <w:r>
        <w:rPr>
          <w:sz w:val="28"/>
          <w:szCs w:val="28"/>
        </w:rPr>
        <w:t>Обеспечение подачи абонентам определенного объема питьевой воды установленного качества</w:t>
      </w:r>
    </w:p>
    <w:p>
      <w:pPr>
        <w:pStyle w:val="Normal"/>
        <w:spacing w:lineRule="auto" w:line="360" w:before="0" w:after="0"/>
        <w:rPr>
          <w:sz w:val="28"/>
          <w:szCs w:val="28"/>
        </w:rPr>
      </w:pPr>
      <w:r>
        <w:rPr>
          <w:sz w:val="28"/>
          <w:szCs w:val="28"/>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муниципального образования. Эффект от внедрения данных мероприятий – улучшение здоровья и качества жизни граждан. Поскольку негативное воздействие возможно в период строительства водопроводных сетей и сооружений, для охраны и  рационального использования земельных ресурсов запланированы следующие мероприятия: </w:t>
      </w:r>
    </w:p>
    <w:p>
      <w:pPr>
        <w:pStyle w:val="Normal"/>
        <w:spacing w:lineRule="auto" w:line="360" w:before="0" w:after="0"/>
        <w:rPr>
          <w:sz w:val="28"/>
          <w:szCs w:val="28"/>
        </w:rPr>
      </w:pPr>
      <w:r>
        <w:rPr>
          <w:sz w:val="28"/>
          <w:szCs w:val="28"/>
        </w:rPr>
        <w:t>- строгое соблюдение технологических режимов водозаборных сооружений, сетей водопроводов.</w:t>
      </w:r>
    </w:p>
    <w:p>
      <w:pPr>
        <w:pStyle w:val="Normal"/>
        <w:spacing w:lineRule="auto" w:line="360" w:before="0" w:after="0"/>
        <w:rPr>
          <w:sz w:val="28"/>
          <w:szCs w:val="28"/>
        </w:rPr>
      </w:pPr>
      <w:r>
        <w:rPr>
          <w:sz w:val="28"/>
          <w:szCs w:val="28"/>
        </w:rPr>
        <w:t>- обеспечение надёжной эксплуатации, своевременная ревизия и ремонт всех звеньев системы водоснабжения, включая насосное и автоматическое оборудование, с целью рационального водопользования;</w:t>
      </w:r>
    </w:p>
    <w:p>
      <w:pPr>
        <w:pStyle w:val="Normal"/>
        <w:spacing w:lineRule="auto" w:line="360" w:before="0" w:after="0"/>
        <w:rPr>
          <w:sz w:val="28"/>
          <w:szCs w:val="28"/>
        </w:rPr>
      </w:pPr>
      <w:r>
        <w:rPr>
          <w:sz w:val="28"/>
          <w:szCs w:val="28"/>
        </w:rPr>
        <w:t>Строительство и реконструкция водопроводной сети будет вестись в населенном пункте, то есть на территории, уже подвергшейся техногенному воздействию, где произошла смена типов растительности. Вследствие этого, отрицательное воздействие при капитальном ремонте путепроводов на растительность и животный мир будет крайне незначительным.</w:t>
      </w:r>
    </w:p>
    <w:p>
      <w:pPr>
        <w:pStyle w:val="2"/>
        <w:numPr>
          <w:ilvl w:val="3"/>
          <w:numId w:val="5"/>
        </w:numPr>
        <w:spacing w:lineRule="auto" w:line="360" w:before="120" w:after="240"/>
        <w:ind w:left="0" w:firstLine="567"/>
        <w:rPr>
          <w:sz w:val="28"/>
          <w:szCs w:val="28"/>
        </w:rPr>
      </w:pPr>
      <w:bookmarkStart w:id="97" w:name="_Toc381715514"/>
      <w:bookmarkStart w:id="98" w:name="_Toc380482154"/>
      <w:r>
        <w:rPr>
          <w:sz w:val="28"/>
          <w:szCs w:val="28"/>
        </w:rPr>
        <w:t xml:space="preserve"> </w:t>
      </w:r>
      <w:r>
        <w:rPr>
          <w:sz w:val="28"/>
          <w:szCs w:val="28"/>
        </w:rPr>
        <w:t>Организация и обеспечение централизованного водоснабжения на территориях, где оно отсутствует</w:t>
      </w:r>
      <w:bookmarkEnd w:id="97"/>
      <w:bookmarkEnd w:id="98"/>
      <w:r>
        <w:rPr>
          <w:sz w:val="28"/>
          <w:szCs w:val="28"/>
        </w:rPr>
        <w:t>.</w:t>
      </w:r>
    </w:p>
    <w:p>
      <w:pPr>
        <w:pStyle w:val="Normal"/>
        <w:spacing w:lineRule="auto" w:line="360" w:before="0" w:after="0"/>
        <w:rPr>
          <w:sz w:val="28"/>
          <w:szCs w:val="28"/>
        </w:rPr>
      </w:pPr>
      <w:r>
        <w:rPr>
          <w:sz w:val="28"/>
          <w:szCs w:val="28"/>
        </w:rPr>
        <w:t xml:space="preserve">Проектом не предусмотрено развитие централизованной системы водоснабжения путём расширения водопроводной сети на территориях, где она отсутствует. </w:t>
      </w:r>
    </w:p>
    <w:p>
      <w:pPr>
        <w:pStyle w:val="Normal"/>
        <w:spacing w:lineRule="auto" w:line="360" w:before="0" w:after="0"/>
        <w:rPr>
          <w:sz w:val="28"/>
          <w:szCs w:val="28"/>
        </w:rPr>
      </w:pPr>
      <w:r>
        <w:rPr>
          <w:sz w:val="28"/>
          <w:szCs w:val="28"/>
        </w:rPr>
        <w:t>В Алексеевском муниципальном образовании, поселок Алексеевск обеспечивает централизованную подачу воды для населения. Что касается п. Воронежского и д. Алексеевка, затраты по внедрению централизованного водоснабжения, ввиду значительной стоимости и низкой окупаемости, не целесообразны. Данная позиция так же обусловлена отсутствием заявок от населения, низкой рождаемости, естественной смерти и оттока молодых специалистов из указанных населенных пунктов.</w:t>
      </w:r>
    </w:p>
    <w:p>
      <w:pPr>
        <w:pStyle w:val="2"/>
        <w:numPr>
          <w:ilvl w:val="3"/>
          <w:numId w:val="5"/>
        </w:numPr>
        <w:spacing w:lineRule="auto" w:line="360" w:before="120" w:after="240"/>
        <w:ind w:left="0" w:firstLine="567"/>
        <w:rPr>
          <w:sz w:val="28"/>
          <w:szCs w:val="28"/>
        </w:rPr>
      </w:pPr>
      <w:bookmarkStart w:id="99" w:name="_Toc381715515"/>
      <w:bookmarkStart w:id="100" w:name="_Toc380482156"/>
      <w:r>
        <w:rPr>
          <w:sz w:val="28"/>
          <w:szCs w:val="28"/>
        </w:rPr>
        <w:t xml:space="preserve"> </w:t>
      </w:r>
      <w:r>
        <w:rPr>
          <w:sz w:val="28"/>
          <w:szCs w:val="28"/>
        </w:rPr>
        <w:t>Обеспечение водоснабжения объектов перспективной застройки населенного пункта</w:t>
      </w:r>
      <w:bookmarkEnd w:id="99"/>
      <w:bookmarkEnd w:id="100"/>
      <w:r>
        <w:rPr>
          <w:sz w:val="28"/>
          <w:szCs w:val="28"/>
        </w:rPr>
        <w:t>.</w:t>
      </w:r>
    </w:p>
    <w:p>
      <w:pPr>
        <w:pStyle w:val="Normal"/>
        <w:spacing w:lineRule="auto" w:line="360" w:before="0" w:after="0"/>
        <w:rPr>
          <w:sz w:val="28"/>
          <w:szCs w:val="28"/>
        </w:rPr>
      </w:pPr>
      <w:r>
        <w:rPr>
          <w:sz w:val="28"/>
          <w:szCs w:val="28"/>
        </w:rPr>
        <w:t>В муниципальном образовании Алексеевского поселения не планируется застройка населенного пункта, в связи со снижением численности  населения к расчетному сроку. Так же генеральным планированием не предусмотрена перспективная застройка населенного пункта.</w:t>
      </w:r>
    </w:p>
    <w:p>
      <w:pPr>
        <w:pStyle w:val="Normal"/>
        <w:spacing w:lineRule="auto" w:line="360" w:before="120" w:after="240"/>
        <w:rPr>
          <w:b/>
          <w:b/>
          <w:sz w:val="28"/>
          <w:szCs w:val="28"/>
        </w:rPr>
      </w:pPr>
      <w:r>
        <w:rPr>
          <w:b/>
          <w:sz w:val="28"/>
          <w:szCs w:val="28"/>
        </w:rPr>
        <w:t>1.4.2.4. Сокращение потерь воды при ее транспортировке.</w:t>
      </w:r>
    </w:p>
    <w:p>
      <w:pPr>
        <w:pStyle w:val="2"/>
        <w:keepNext/>
        <w:numPr>
          <w:ilvl w:val="0"/>
          <w:numId w:val="0"/>
        </w:numPr>
        <w:spacing w:lineRule="auto" w:line="360" w:before="0" w:after="0"/>
        <w:ind w:left="720" w:firstLine="567"/>
        <w:rPr/>
      </w:pPr>
      <w:r>
        <w:rPr>
          <w:b w:val="false"/>
          <w:bCs w:val="false"/>
          <w:sz w:val="28"/>
          <w:szCs w:val="28"/>
          <w:lang w:eastAsia="ru-RU"/>
        </w:rPr>
        <w:t xml:space="preserve">В Алексеевском муниципальном образовании, для повышения надежности трубопроводов и сокращения потерь воды на подобных водопроводных сетях проводится </w:t>
      </w:r>
      <w:r>
        <w:rPr>
          <w:b w:val="false"/>
          <w:sz w:val="28"/>
          <w:szCs w:val="28"/>
        </w:rPr>
        <w:t>замена аварийных водопроводных сетей, что составляет 6,6 км. Главным остается контроль над утечками на сетях водоснабжения.</w:t>
      </w:r>
    </w:p>
    <w:p>
      <w:pPr>
        <w:pStyle w:val="2"/>
        <w:numPr>
          <w:ilvl w:val="0"/>
          <w:numId w:val="0"/>
        </w:numPr>
        <w:spacing w:lineRule="auto" w:line="360" w:before="120" w:after="240"/>
        <w:ind w:left="720" w:firstLine="567"/>
        <w:rPr>
          <w:sz w:val="28"/>
          <w:szCs w:val="28"/>
        </w:rPr>
      </w:pPr>
      <w:bookmarkStart w:id="101" w:name="_Toc381715518"/>
      <w:bookmarkStart w:id="102" w:name="_Toc380482159"/>
      <w:r>
        <w:rPr>
          <w:sz w:val="28"/>
          <w:szCs w:val="28"/>
        </w:rPr>
        <w:t>1.4.2.5. 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101"/>
      <w:bookmarkEnd w:id="102"/>
      <w:r>
        <w:rPr>
          <w:sz w:val="28"/>
          <w:szCs w:val="28"/>
        </w:rPr>
        <w:t>.</w:t>
      </w:r>
    </w:p>
    <w:p>
      <w:pPr>
        <w:pStyle w:val="Normal"/>
        <w:shd w:val="clear" w:color="auto" w:fill="FFFFFF" w:themeFill="background1"/>
        <w:spacing w:lineRule="auto" w:line="360" w:before="0" w:after="0"/>
        <w:rPr>
          <w:sz w:val="28"/>
          <w:szCs w:val="28"/>
        </w:rPr>
      </w:pPr>
      <w:r>
        <w:rPr>
          <w:sz w:val="28"/>
          <w:szCs w:val="28"/>
        </w:rPr>
        <w:t xml:space="preserve">В настоящее время водоподготовка воды в Алексеевском городском поселении не производится. Системы очистки и обеззараживания воды отсутствуют. Вода на территории Алексеевского муниципального образования соответствует требованиям </w:t>
      </w:r>
      <w:r>
        <w:rPr>
          <w:sz w:val="28"/>
          <w:lang w:eastAsia="ru-RU"/>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Согласно протокола лабораторных испытаний №0008 и №0009 от 19 декабря 2014 года, договор № 010к от 21.01.2013г.</w:t>
      </w:r>
      <w:r>
        <w:rPr>
          <w:sz w:val="28"/>
          <w:szCs w:val="28"/>
        </w:rPr>
        <w:t xml:space="preserve"> </w:t>
      </w:r>
      <w:r>
        <w:rPr>
          <w:sz w:val="28"/>
          <w:lang w:eastAsia="ru-RU"/>
        </w:rPr>
        <w:t xml:space="preserve">анализ пробы воды проведен ООО "Норд Трейд" в Киренском районе, п. Алексеевске, кв. Таёжный 42-1. </w:t>
      </w:r>
    </w:p>
    <w:p>
      <w:pPr>
        <w:pStyle w:val="2"/>
        <w:numPr>
          <w:ilvl w:val="2"/>
          <w:numId w:val="5"/>
        </w:numPr>
        <w:spacing w:lineRule="auto" w:line="360" w:before="120" w:after="240"/>
        <w:ind w:left="0" w:firstLine="567"/>
        <w:rPr>
          <w:sz w:val="28"/>
        </w:rPr>
      </w:pPr>
      <w:bookmarkStart w:id="103" w:name="_Toc381715519"/>
      <w:bookmarkStart w:id="104" w:name="_Toc380482160"/>
      <w:r>
        <w:rPr>
          <w:sz w:val="28"/>
        </w:rPr>
        <w:t>Сведения о вновь строящихся, реконструируемых и предлагаемых к выводу из эксплуатации объектах системы водоснабжения</w:t>
      </w:r>
      <w:bookmarkEnd w:id="103"/>
      <w:bookmarkEnd w:id="104"/>
      <w:r>
        <w:rPr>
          <w:sz w:val="28"/>
        </w:rPr>
        <w:t>.</w:t>
      </w:r>
    </w:p>
    <w:p>
      <w:pPr>
        <w:pStyle w:val="2"/>
        <w:numPr>
          <w:ilvl w:val="0"/>
          <w:numId w:val="0"/>
        </w:numPr>
        <w:spacing w:lineRule="auto" w:line="360" w:before="0" w:after="0"/>
        <w:ind w:left="720" w:firstLine="567"/>
        <w:rPr>
          <w:b w:val="false"/>
          <w:b w:val="false"/>
          <w:sz w:val="28"/>
        </w:rPr>
      </w:pPr>
      <w:bookmarkStart w:id="105" w:name="_Toc381715520"/>
      <w:bookmarkStart w:id="106" w:name="_Toc380482161"/>
      <w:r>
        <w:rPr>
          <w:b w:val="false"/>
          <w:sz w:val="28"/>
        </w:rPr>
        <w:t>Проектом схемы водоснабжения предполагается строительство, реконструкция следующих объектов водоснабжения:</w:t>
      </w:r>
    </w:p>
    <w:p>
      <w:pPr>
        <w:pStyle w:val="2"/>
        <w:numPr>
          <w:ilvl w:val="0"/>
          <w:numId w:val="0"/>
        </w:numPr>
        <w:spacing w:lineRule="auto" w:line="360" w:before="0" w:after="0"/>
        <w:ind w:left="720" w:firstLine="567"/>
        <w:rPr>
          <w:b w:val="false"/>
          <w:b w:val="false"/>
          <w:sz w:val="28"/>
        </w:rPr>
      </w:pPr>
      <w:bookmarkStart w:id="107" w:name="_Toc381715520"/>
      <w:bookmarkStart w:id="108" w:name="_Toc380482161"/>
      <w:r>
        <w:rPr>
          <w:b w:val="false"/>
          <w:sz w:val="28"/>
        </w:rPr>
        <w:t xml:space="preserve">- замена участков </w:t>
      </w:r>
      <w:bookmarkEnd w:id="107"/>
      <w:bookmarkEnd w:id="108"/>
      <w:r>
        <w:rPr>
          <w:b w:val="false"/>
          <w:sz w:val="28"/>
        </w:rPr>
        <w:t>существующей сети водоснабжения, в виду износа (60%);</w:t>
      </w:r>
    </w:p>
    <w:p>
      <w:pPr>
        <w:pStyle w:val="13"/>
        <w:spacing w:lineRule="auto" w:line="360"/>
        <w:ind w:left="0" w:firstLine="567"/>
        <w:jc w:val="both"/>
        <w:rPr>
          <w:sz w:val="28"/>
          <w:szCs w:val="28"/>
        </w:rPr>
      </w:pPr>
      <w:r>
        <w:rPr>
          <w:sz w:val="28"/>
          <w:szCs w:val="28"/>
        </w:rPr>
        <w:t>- строительство резервного участка сети водоснабжения, протяженностью 380 м;</w:t>
      </w:r>
    </w:p>
    <w:p>
      <w:pPr>
        <w:pStyle w:val="13"/>
        <w:spacing w:lineRule="auto" w:line="360"/>
        <w:ind w:left="0" w:firstLine="567"/>
        <w:jc w:val="both"/>
        <w:rPr>
          <w:sz w:val="28"/>
          <w:szCs w:val="28"/>
        </w:rPr>
      </w:pPr>
      <w:r>
        <w:rPr>
          <w:sz w:val="28"/>
          <w:szCs w:val="28"/>
        </w:rPr>
        <w:t>- капитальный ремонт ограждения территории водозабора в связи с ветхостью существующего (протяженность ограждения 280 м, материал профлист).</w:t>
      </w:r>
    </w:p>
    <w:p>
      <w:pPr>
        <w:pStyle w:val="13"/>
        <w:spacing w:lineRule="auto" w:line="360"/>
        <w:ind w:left="0" w:firstLine="567"/>
        <w:jc w:val="both"/>
        <w:rPr>
          <w:sz w:val="28"/>
          <w:szCs w:val="28"/>
        </w:rPr>
      </w:pPr>
      <w:r>
        <w:rPr>
          <w:sz w:val="28"/>
          <w:szCs w:val="28"/>
        </w:rPr>
        <w:t>Вывод из эксплуатации объектов системы водоснабжения не предусмотрен.</w:t>
      </w:r>
    </w:p>
    <w:p>
      <w:pPr>
        <w:pStyle w:val="Normal"/>
        <w:spacing w:lineRule="auto" w:line="360"/>
        <w:rPr>
          <w:sz w:val="28"/>
          <w:szCs w:val="28"/>
        </w:rPr>
      </w:pPr>
      <w:r>
        <w:rPr>
          <w:rFonts w:eastAsia="Calibri"/>
          <w:bCs/>
          <w:sz w:val="28"/>
          <w:szCs w:val="26"/>
        </w:rPr>
        <w:t>В случае изменения плановых мероприятий, данный пункт необходимо актуализировать в соответствии с требованиями Постановления Правительства Российской Федерации от 5 сентября 2013 г. № 782 г. "О схемах водоснабжения и водоотведения"</w:t>
      </w:r>
    </w:p>
    <w:p>
      <w:pPr>
        <w:pStyle w:val="2"/>
        <w:numPr>
          <w:ilvl w:val="2"/>
          <w:numId w:val="5"/>
        </w:numPr>
        <w:spacing w:lineRule="auto" w:line="360" w:before="120" w:after="240"/>
        <w:ind w:left="0" w:firstLine="567"/>
        <w:rPr>
          <w:sz w:val="28"/>
        </w:rPr>
      </w:pPr>
      <w:bookmarkStart w:id="109" w:name="_Toc381715521"/>
      <w:bookmarkStart w:id="110" w:name="_Toc380482162"/>
      <w:r>
        <w:rPr>
          <w:sz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09"/>
      <w:bookmarkEnd w:id="110"/>
      <w:r>
        <w:rPr>
          <w:sz w:val="28"/>
        </w:rPr>
        <w:t>.</w:t>
      </w:r>
    </w:p>
    <w:p>
      <w:pPr>
        <w:pStyle w:val="Normal"/>
        <w:spacing w:lineRule="auto" w:line="360" w:before="0" w:after="0"/>
        <w:rPr>
          <w:sz w:val="28"/>
          <w:szCs w:val="28"/>
        </w:rPr>
      </w:pPr>
      <w:bookmarkStart w:id="111" w:name="_Toc381715522"/>
      <w:bookmarkStart w:id="112" w:name="_Toc380482163"/>
      <w:r>
        <w:rPr>
          <w:sz w:val="28"/>
          <w:szCs w:val="28"/>
        </w:rPr>
        <w:t>На данный момент система диспетчеризации и телемеханизации в муниципальном образовании отсутствует.</w:t>
      </w:r>
    </w:p>
    <w:p>
      <w:pPr>
        <w:pStyle w:val="Normal"/>
        <w:spacing w:lineRule="auto" w:line="360" w:before="0" w:after="0"/>
        <w:rPr>
          <w:sz w:val="28"/>
          <w:szCs w:val="28"/>
        </w:rPr>
      </w:pPr>
      <w:r>
        <w:rPr>
          <w:sz w:val="28"/>
          <w:szCs w:val="28"/>
        </w:rPr>
        <w:t>Ввиду отсутствия насосного оборудования, самотечности системы водоснабжения, развитие системы управления режимами водоснабжения на объектах организации осуществляющих водоснабжение, не целесообразно.</w:t>
      </w:r>
    </w:p>
    <w:p>
      <w:pPr>
        <w:pStyle w:val="2"/>
        <w:numPr>
          <w:ilvl w:val="2"/>
          <w:numId w:val="5"/>
        </w:numPr>
        <w:spacing w:lineRule="auto" w:line="360" w:before="120" w:after="240"/>
        <w:ind w:left="0" w:firstLine="567"/>
        <w:rPr>
          <w:sz w:val="28"/>
        </w:rPr>
      </w:pPr>
      <w:bookmarkStart w:id="113" w:name="_Toc381715522"/>
      <w:bookmarkStart w:id="114" w:name="_Toc380482163"/>
      <w:r>
        <w:rPr>
          <w:sz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13"/>
      <w:bookmarkEnd w:id="114"/>
      <w:r>
        <w:rPr>
          <w:sz w:val="28"/>
        </w:rPr>
        <w:t>.</w:t>
      </w:r>
    </w:p>
    <w:p>
      <w:pPr>
        <w:pStyle w:val="ListParagraph"/>
        <w:spacing w:lineRule="auto" w:line="360"/>
        <w:ind w:left="0" w:firstLine="540"/>
        <w:jc w:val="both"/>
        <w:rPr>
          <w:rFonts w:ascii="Times New Roman" w:hAnsi="Times New Roman"/>
          <w:sz w:val="28"/>
          <w:szCs w:val="24"/>
          <w:lang w:eastAsia="ru-RU"/>
        </w:rPr>
      </w:pPr>
      <w:r>
        <w:rPr>
          <w:rFonts w:ascii="Times New Roman" w:hAnsi="Times New Roman"/>
          <w:sz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предусмотрены организационные мероприятия, обеспечивающие создание условий для повышения энергетической эффективности экономики, в числе которых оснащение жилых домов в жилищном фонде приборами учета воды, в том числе многоквартирных домов коллективными общедомовыми приборами учета воды.</w:t>
      </w:r>
    </w:p>
    <w:p>
      <w:pPr>
        <w:pStyle w:val="ListParagraph"/>
        <w:spacing w:lineRule="auto" w:line="360"/>
        <w:ind w:left="0" w:firstLine="540"/>
        <w:jc w:val="both"/>
        <w:rPr>
          <w:rFonts w:ascii="Times New Roman" w:hAnsi="Times New Roman"/>
          <w:sz w:val="28"/>
          <w:szCs w:val="24"/>
          <w:lang w:eastAsia="ru-RU"/>
        </w:rPr>
      </w:pPr>
      <w:r>
        <w:rPr>
          <w:rFonts w:ascii="Times New Roman" w:hAnsi="Times New Roman"/>
          <w:sz w:val="28"/>
        </w:rPr>
        <w:t xml:space="preserve">  </w:t>
      </w:r>
      <w:r>
        <w:rPr>
          <w:rFonts w:ascii="Times New Roman" w:hAnsi="Times New Roman"/>
          <w:color w:val="000000" w:themeColor="text1"/>
          <w:sz w:val="28"/>
        </w:rPr>
        <w:t xml:space="preserve">В настоящее время в муниципальном образовании Алексеевского городского поселения оснащенность приборами учета составляет: </w:t>
      </w:r>
    </w:p>
    <w:p>
      <w:pPr>
        <w:pStyle w:val="ListParagraph"/>
        <w:spacing w:lineRule="auto" w:line="360"/>
        <w:ind w:left="0" w:firstLine="540"/>
        <w:jc w:val="both"/>
        <w:rPr>
          <w:rFonts w:ascii="Times New Roman" w:hAnsi="Times New Roman"/>
          <w:color w:val="000000" w:themeColor="text1"/>
          <w:sz w:val="28"/>
        </w:rPr>
      </w:pPr>
      <w:r>
        <w:rPr>
          <w:rFonts w:ascii="Times New Roman" w:hAnsi="Times New Roman"/>
          <w:color w:val="000000" w:themeColor="text1"/>
          <w:sz w:val="28"/>
        </w:rPr>
        <w:t>- Население - 84%</w:t>
      </w:r>
    </w:p>
    <w:p>
      <w:pPr>
        <w:pStyle w:val="ListParagraph"/>
        <w:spacing w:lineRule="auto" w:line="360"/>
        <w:ind w:left="0" w:firstLine="540"/>
        <w:jc w:val="both"/>
        <w:rPr>
          <w:rFonts w:ascii="Times New Roman" w:hAnsi="Times New Roman"/>
          <w:color w:val="000000" w:themeColor="text1"/>
          <w:sz w:val="28"/>
        </w:rPr>
      </w:pPr>
      <w:r>
        <w:rPr>
          <w:rFonts w:ascii="Times New Roman" w:hAnsi="Times New Roman"/>
          <w:color w:val="000000" w:themeColor="text1"/>
          <w:sz w:val="28"/>
        </w:rPr>
        <w:t>- Учреждения - 78,5%</w:t>
      </w:r>
    </w:p>
    <w:p>
      <w:pPr>
        <w:pStyle w:val="ListParagraph"/>
        <w:spacing w:lineRule="auto" w:line="360"/>
        <w:ind w:left="0" w:firstLine="540"/>
        <w:jc w:val="both"/>
        <w:rPr>
          <w:rFonts w:ascii="Times New Roman" w:hAnsi="Times New Roman"/>
          <w:color w:val="000000" w:themeColor="text1"/>
          <w:sz w:val="28"/>
        </w:rPr>
      </w:pPr>
      <w:r>
        <w:rPr>
          <w:rFonts w:ascii="Times New Roman" w:hAnsi="Times New Roman"/>
          <w:color w:val="000000" w:themeColor="text1"/>
          <w:sz w:val="28"/>
        </w:rPr>
        <w:t>- Промышленные предприятия - 50%</w:t>
      </w:r>
    </w:p>
    <w:p>
      <w:pPr>
        <w:pStyle w:val="2"/>
        <w:numPr>
          <w:ilvl w:val="2"/>
          <w:numId w:val="5"/>
        </w:numPr>
        <w:spacing w:lineRule="auto" w:line="360" w:before="120" w:after="240"/>
        <w:ind w:left="0" w:firstLine="567"/>
        <w:contextualSpacing/>
        <w:rPr>
          <w:sz w:val="28"/>
          <w:szCs w:val="28"/>
        </w:rPr>
      </w:pPr>
      <w:bookmarkStart w:id="115" w:name="_Toc381715523"/>
      <w:bookmarkStart w:id="116" w:name="_Toc380482164"/>
      <w:r>
        <w:rPr>
          <w:sz w:val="28"/>
          <w:szCs w:val="28"/>
        </w:rPr>
        <w:t>Описание вариантов маршрутов прохождения трубопроводов по территории муниципального образования</w:t>
      </w:r>
      <w:bookmarkEnd w:id="115"/>
      <w:bookmarkEnd w:id="116"/>
      <w:r>
        <w:rPr>
          <w:sz w:val="28"/>
          <w:szCs w:val="28"/>
        </w:rPr>
        <w:t>.</w:t>
      </w:r>
    </w:p>
    <w:p>
      <w:pPr>
        <w:pStyle w:val="Normal"/>
        <w:spacing w:lineRule="auto" w:line="360" w:before="0" w:after="0"/>
        <w:rPr>
          <w:sz w:val="28"/>
        </w:rPr>
      </w:pPr>
      <w:r>
        <w:rPr>
          <w:sz w:val="28"/>
        </w:rPr>
        <w:t xml:space="preserve">Схема существующих сетей водоснабжения муниципального образования прилагается в электронном и бумажном вариантах. Замена  водопроводных сетей не окажет значительного воздействия на условия землепользования и геологическую среду. </w:t>
      </w:r>
    </w:p>
    <w:p>
      <w:pPr>
        <w:pStyle w:val="Normal"/>
        <w:spacing w:lineRule="auto" w:line="360" w:before="0" w:after="0"/>
        <w:rPr>
          <w:sz w:val="28"/>
          <w:szCs w:val="28"/>
        </w:rPr>
      </w:pPr>
      <w:r>
        <w:rPr>
          <w:sz w:val="28"/>
        </w:rPr>
        <w:t xml:space="preserve"> </w:t>
      </w:r>
      <w:r>
        <w:rPr>
          <w:sz w:val="28"/>
        </w:rPr>
        <w:t xml:space="preserve">Прокладка резервного участка сети будет проходить от распределительного колодца на территории водозабора до распределительного колодца у дома кв. Таёжный 1. </w:t>
      </w:r>
    </w:p>
    <w:p>
      <w:pPr>
        <w:pStyle w:val="2"/>
        <w:numPr>
          <w:ilvl w:val="2"/>
          <w:numId w:val="5"/>
        </w:numPr>
        <w:spacing w:lineRule="auto" w:line="360" w:before="120" w:after="240"/>
        <w:ind w:left="0" w:firstLine="567"/>
        <w:contextualSpacing/>
        <w:rPr>
          <w:sz w:val="28"/>
          <w:szCs w:val="28"/>
        </w:rPr>
      </w:pPr>
      <w:bookmarkStart w:id="117" w:name="_Toc381715524"/>
      <w:bookmarkStart w:id="118" w:name="_Toc380482165"/>
      <w:r>
        <w:rPr>
          <w:sz w:val="28"/>
          <w:szCs w:val="28"/>
        </w:rPr>
        <w:t>Рекомендации о месте размещения насосных станций, резервуаров, водонапорных башен</w:t>
      </w:r>
      <w:bookmarkEnd w:id="117"/>
      <w:bookmarkEnd w:id="118"/>
      <w:r>
        <w:rPr>
          <w:sz w:val="28"/>
          <w:szCs w:val="28"/>
        </w:rPr>
        <w:t>.</w:t>
      </w:r>
    </w:p>
    <w:p>
      <w:pPr>
        <w:pStyle w:val="Normal"/>
        <w:spacing w:lineRule="auto" w:line="360"/>
        <w:rPr>
          <w:sz w:val="28"/>
          <w:lang w:eastAsia="ru-RU"/>
        </w:rPr>
      </w:pPr>
      <w:r>
        <w:rPr>
          <w:sz w:val="28"/>
          <w:szCs w:val="28"/>
        </w:rPr>
        <w:t xml:space="preserve">В Алексеевском муниципальном образовании отсутствуют насосные станции и водонапорные башни. Водозаборное сооружение рекомендуется оставить на своем месте, так как забор воды происходит  на склоне  горы  на  отметке  294,0 м,  что  значительно  выше  территории  посёлка. Вода к потребителям поступает самотеком. Водозаборное сооружение работает в штатном режиме, с авариями, но при этом обеспечивают своевременную подачу водоснабжения для всех подключенных абонентов. </w:t>
      </w:r>
    </w:p>
    <w:p>
      <w:pPr>
        <w:pStyle w:val="2"/>
        <w:numPr>
          <w:ilvl w:val="2"/>
          <w:numId w:val="5"/>
        </w:numPr>
        <w:spacing w:lineRule="auto" w:line="360" w:before="120" w:after="240"/>
        <w:ind w:left="0" w:firstLine="567"/>
        <w:contextualSpacing/>
        <w:rPr>
          <w:sz w:val="28"/>
          <w:szCs w:val="28"/>
        </w:rPr>
      </w:pPr>
      <w:bookmarkStart w:id="119" w:name="_Toc381715526"/>
      <w:bookmarkStart w:id="120" w:name="_Toc380482167"/>
      <w:r>
        <w:rPr>
          <w:sz w:val="28"/>
          <w:szCs w:val="28"/>
        </w:rPr>
        <w:t>Карты (схемы) существующего и планируемого размещения объектов централизованных систем холодного водоснабжения</w:t>
      </w:r>
      <w:bookmarkEnd w:id="119"/>
      <w:bookmarkEnd w:id="120"/>
      <w:r>
        <w:rPr>
          <w:sz w:val="28"/>
          <w:szCs w:val="28"/>
        </w:rPr>
        <w:t>.</w:t>
      </w:r>
    </w:p>
    <w:p>
      <w:pPr>
        <w:pStyle w:val="Normal"/>
        <w:spacing w:lineRule="auto" w:line="360" w:before="0" w:after="0"/>
        <w:contextualSpacing/>
        <w:rPr>
          <w:sz w:val="28"/>
          <w:szCs w:val="28"/>
        </w:rPr>
      </w:pPr>
      <w:r>
        <w:rPr>
          <w:sz w:val="28"/>
          <w:szCs w:val="28"/>
        </w:rPr>
        <w:t>Графическая схема размещения объектов централизованной системы водоснабжения муниципального образования Алексеевского городского поселения  прилагается в электронном и бумажном варианте (приложение 1).</w:t>
      </w:r>
    </w:p>
    <w:p>
      <w:pPr>
        <w:pStyle w:val="2"/>
        <w:numPr>
          <w:ilvl w:val="0"/>
          <w:numId w:val="0"/>
        </w:numPr>
        <w:spacing w:lineRule="auto" w:line="360" w:before="0" w:after="0"/>
        <w:ind w:left="720" w:firstLine="567"/>
        <w:contextualSpacing/>
        <w:rPr>
          <w:rStyle w:val="FontStyle157"/>
          <w:rFonts w:eastAsia="Calibri"/>
          <w:b/>
          <w:b/>
          <w:sz w:val="28"/>
          <w:szCs w:val="28"/>
          <w:lang w:eastAsia="en-US"/>
        </w:rPr>
      </w:pPr>
      <w:bookmarkStart w:id="121" w:name="_Toc381715527"/>
      <w:bookmarkStart w:id="122" w:name="_Toc380482168"/>
      <w:bookmarkStart w:id="123" w:name="_Toc381715527"/>
      <w:bookmarkStart w:id="124" w:name="_Toc380482168"/>
      <w:r>
        <w:rPr>
          <w:rFonts w:eastAsia="Calibri"/>
          <w:b/>
          <w:sz w:val="28"/>
          <w:szCs w:val="28"/>
          <w:lang w:eastAsia="en-US"/>
        </w:rPr>
      </w:r>
    </w:p>
    <w:p>
      <w:pPr>
        <w:pStyle w:val="2"/>
        <w:numPr>
          <w:ilvl w:val="0"/>
          <w:numId w:val="0"/>
        </w:numPr>
        <w:spacing w:lineRule="auto" w:line="360" w:before="0" w:after="0"/>
        <w:ind w:left="720" w:firstLine="567"/>
        <w:contextualSpacing/>
        <w:rPr>
          <w:rStyle w:val="FontStyle157"/>
          <w:rFonts w:eastAsia="Calibri"/>
          <w:b/>
          <w:b/>
          <w:sz w:val="28"/>
          <w:szCs w:val="28"/>
          <w:lang w:eastAsia="en-US"/>
        </w:rPr>
      </w:pPr>
      <w:bookmarkStart w:id="125" w:name="_Toc381715527"/>
      <w:bookmarkStart w:id="126" w:name="_Toc380482168"/>
      <w:r>
        <w:rPr>
          <w:rStyle w:val="FontStyle157"/>
          <w:rFonts w:eastAsia="Calibri"/>
          <w:b/>
          <w:sz w:val="28"/>
          <w:szCs w:val="28"/>
          <w:lang w:eastAsia="en-US"/>
        </w:rPr>
        <w:t>1.5 ЭКОЛОГИЧЕСКИЕ АСПЕКТЫ МЕРОПРИЯТИЙ ПО СТРОИТЕЛЬСТВУ, РЕКОНСТРУКЦИИ И МОДЕРНИЗАЦИИ ОБЪЕКТОВ ЦЕНТРАЛИЗОВАННЫХ СИСТЕМ ВОДОСНАБЖЕНИЯ</w:t>
      </w:r>
      <w:bookmarkEnd w:id="125"/>
      <w:bookmarkEnd w:id="126"/>
      <w:r>
        <w:rPr>
          <w:rStyle w:val="FontStyle157"/>
          <w:rFonts w:eastAsia="Calibri"/>
          <w:b/>
          <w:sz w:val="28"/>
          <w:szCs w:val="28"/>
          <w:lang w:eastAsia="en-US"/>
        </w:rPr>
        <w:t>.</w:t>
      </w:r>
    </w:p>
    <w:p>
      <w:pPr>
        <w:pStyle w:val="Normal"/>
        <w:rPr>
          <w:rFonts w:eastAsia="Calibri"/>
        </w:rPr>
      </w:pPr>
      <w:r>
        <w:rPr>
          <w:rFonts w:eastAsia="Calibri"/>
        </w:rPr>
      </w:r>
    </w:p>
    <w:p>
      <w:pPr>
        <w:pStyle w:val="Normal"/>
        <w:spacing w:lineRule="auto" w:line="360" w:before="0" w:after="0"/>
        <w:contextualSpacing/>
        <w:rPr>
          <w:sz w:val="28"/>
          <w:szCs w:val="28"/>
        </w:rPr>
      </w:pPr>
      <w:bookmarkStart w:id="127" w:name="_Toc381715528"/>
      <w:bookmarkStart w:id="128" w:name="_Toc380482169"/>
      <w:r>
        <w:rPr>
          <w:b/>
          <w:sz w:val="28"/>
          <w:szCs w:val="28"/>
        </w:rPr>
        <w:t>1.5.1</w:t>
      </w:r>
      <w:r>
        <w:rPr>
          <w:sz w:val="28"/>
          <w:szCs w:val="28"/>
        </w:rPr>
        <w:t xml:space="preserve">  </w:t>
      </w:r>
      <w:bookmarkStart w:id="129" w:name="bookmark86"/>
      <w:bookmarkStart w:id="130" w:name="bookmark85"/>
      <w:bookmarkEnd w:id="127"/>
      <w:bookmarkEnd w:id="128"/>
      <w:r>
        <w:rPr>
          <w:b/>
          <w:sz w:val="28"/>
          <w:szCs w:val="28"/>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bookmarkEnd w:id="129"/>
      <w:bookmarkEnd w:id="130"/>
      <w:r>
        <w:rPr>
          <w:b/>
          <w:sz w:val="28"/>
          <w:szCs w:val="28"/>
        </w:rPr>
        <w:t>.</w:t>
      </w:r>
    </w:p>
    <w:p>
      <w:pPr>
        <w:pStyle w:val="Normal"/>
        <w:spacing w:lineRule="auto" w:line="360" w:before="0" w:after="0"/>
        <w:contextualSpacing/>
        <w:rPr>
          <w:sz w:val="28"/>
          <w:szCs w:val="28"/>
        </w:rPr>
      </w:pPr>
      <w:r>
        <w:rPr>
          <w:sz w:val="28"/>
          <w:szCs w:val="28"/>
        </w:rPr>
        <w:t xml:space="preserve">В процессе производственно-хозяйственной деятельности человек оказывает все более возрастающее и многообразное воздействие на природную среду, изменяя ее состав. Природоохранные мероприятия, осуществляемые предприятием, должны полностью компенсировать отрицательное воздействие производства на природную среду. </w:t>
      </w:r>
    </w:p>
    <w:p>
      <w:pPr>
        <w:pStyle w:val="Normal"/>
        <w:spacing w:lineRule="auto" w:line="360" w:before="0" w:after="0"/>
        <w:contextualSpacing/>
        <w:rPr>
          <w:sz w:val="28"/>
          <w:szCs w:val="28"/>
        </w:rPr>
      </w:pPr>
      <w:r>
        <w:rPr>
          <w:sz w:val="28"/>
          <w:szCs w:val="28"/>
        </w:rPr>
        <w:t>При проектировании объектов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размещения отходов производства и потребления, применяться ресурсосберегающие, малоотходные, безотходные и иные наилучшие существующие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 При осуществлении строительства и реконструкции объектов принимаются меры по охране окружающей среды, восстановлению природной среды, рекультивации земель, благоустройству территорий в соответствии с законодательством Российской Федерации.</w:t>
      </w:r>
    </w:p>
    <w:p>
      <w:pPr>
        <w:pStyle w:val="Normal"/>
        <w:spacing w:lineRule="auto" w:line="360" w:before="0" w:after="0"/>
        <w:contextualSpacing/>
        <w:rPr>
          <w:sz w:val="28"/>
          <w:szCs w:val="28"/>
        </w:rPr>
      </w:pPr>
      <w:r>
        <w:rPr>
          <w:sz w:val="28"/>
          <w:szCs w:val="28"/>
        </w:rPr>
        <w:t>Ввод в эксплуатацию сооружений и сетей водоснабжения осуществляется при условии выполнения в полном объеме требований в области охраны окружающей среды, предусмотренных проектами, и в соответствии с актами комиссий по приемке в эксплуатацию зданий, строений, сооружений и иных объектов, в состав которых включаются представители федеральных органов исполнительной власти, осуществляющих государственное управление в области охраны окружающей среды.</w:t>
      </w:r>
    </w:p>
    <w:p>
      <w:pPr>
        <w:pStyle w:val="Normal"/>
        <w:spacing w:lineRule="auto" w:line="360" w:before="0" w:after="0"/>
        <w:contextualSpacing/>
        <w:rPr>
          <w:color w:val="FF0000"/>
          <w:sz w:val="28"/>
          <w:szCs w:val="28"/>
        </w:rPr>
      </w:pPr>
      <w:r>
        <w:rPr>
          <w:sz w:val="28"/>
          <w:szCs w:val="28"/>
        </w:rPr>
        <w:t xml:space="preserve">Для обеспечения санитарно-эпидемиологической надежности водопровода  хозяйственно-питьевого назначения должны быть разработаны зоны санитарной охраны (ЗСО) источников водоснабжения и сооружений водопровода в составе трех поясов: </w:t>
      </w:r>
      <w:r>
        <w:rPr>
          <w:sz w:val="28"/>
          <w:szCs w:val="28"/>
          <w:lang w:val="en-US"/>
        </w:rPr>
        <w:t>I</w:t>
      </w:r>
      <w:r>
        <w:rPr>
          <w:sz w:val="28"/>
          <w:szCs w:val="28"/>
        </w:rPr>
        <w:t xml:space="preserve"> пояс санитарной охраны - зона строгого режима,  </w:t>
      </w:r>
      <w:r>
        <w:rPr>
          <w:sz w:val="28"/>
          <w:szCs w:val="28"/>
          <w:lang w:val="en-US"/>
        </w:rPr>
        <w:t>II</w:t>
      </w:r>
      <w:r>
        <w:rPr>
          <w:sz w:val="28"/>
          <w:szCs w:val="28"/>
        </w:rPr>
        <w:t xml:space="preserve"> и </w:t>
      </w:r>
      <w:r>
        <w:rPr>
          <w:sz w:val="28"/>
          <w:szCs w:val="28"/>
          <w:lang w:val="en-US"/>
        </w:rPr>
        <w:t>III</w:t>
      </w:r>
      <w:r>
        <w:rPr>
          <w:sz w:val="28"/>
          <w:szCs w:val="28"/>
        </w:rPr>
        <w:t xml:space="preserve"> - зона ограничений.</w:t>
      </w:r>
    </w:p>
    <w:p>
      <w:pPr>
        <w:pStyle w:val="Normal"/>
        <w:spacing w:lineRule="auto" w:line="360" w:before="0" w:after="0"/>
        <w:contextualSpacing/>
        <w:rPr>
          <w:sz w:val="28"/>
          <w:szCs w:val="28"/>
        </w:rPr>
      </w:pPr>
      <w:r>
        <w:rPr>
          <w:sz w:val="28"/>
          <w:szCs w:val="28"/>
        </w:rPr>
        <w:t>Границы зон устанавливаются в соответствии со СНиП 2.04.02-84 «Водоснабжение. Наружные сети и сооружения» и СанПиН 2.1.4.1110 - 02 «Зоны санитарной охраны источников водоснабжения и водопроводов хозяйственно-питьевого назначения». Зона первого пояса составляет 30 метров.</w:t>
      </w:r>
    </w:p>
    <w:p>
      <w:pPr>
        <w:pStyle w:val="Normal"/>
        <w:spacing w:lineRule="auto" w:line="360" w:before="0" w:after="0"/>
        <w:contextualSpacing/>
        <w:rPr>
          <w:sz w:val="28"/>
          <w:szCs w:val="28"/>
        </w:rPr>
      </w:pPr>
      <w:r>
        <w:rPr>
          <w:sz w:val="28"/>
          <w:szCs w:val="28"/>
        </w:rPr>
        <w:t>В целях обеспечения санитарно – эпидемиологической надежности системы хозяйственно-питьевого водоснабжения должны быть организованы зоны санитарной охраны источника, водопроводных сооружений и основных водоводов.</w:t>
      </w:r>
    </w:p>
    <w:p>
      <w:pPr>
        <w:pStyle w:val="Normal"/>
        <w:spacing w:lineRule="auto" w:line="360" w:before="0" w:after="0"/>
        <w:contextualSpacing/>
        <w:rPr>
          <w:sz w:val="28"/>
          <w:szCs w:val="28"/>
        </w:rPr>
      </w:pPr>
      <w:bookmarkStart w:id="131" w:name="_Toc360700200"/>
      <w:bookmarkStart w:id="132" w:name="_Toc360699814"/>
      <w:bookmarkStart w:id="133" w:name="_Toc360699428"/>
      <w:bookmarkEnd w:id="131"/>
      <w:bookmarkEnd w:id="132"/>
      <w:bookmarkEnd w:id="133"/>
      <w:r>
        <w:rPr>
          <w:sz w:val="28"/>
          <w:szCs w:val="28"/>
        </w:rPr>
        <w:t>Санитарно-защитная полоса водоводов, прокладываемых по незастроенной территории, составляет 50 м, по застроенной территории 20 метров.</w:t>
      </w:r>
    </w:p>
    <w:p>
      <w:pPr>
        <w:pStyle w:val="Normal"/>
        <w:spacing w:lineRule="auto" w:line="360" w:before="0" w:after="0"/>
        <w:contextualSpacing/>
        <w:rPr>
          <w:sz w:val="28"/>
          <w:szCs w:val="28"/>
        </w:rPr>
      </w:pPr>
      <w:r>
        <w:rPr>
          <w:b/>
          <w:bCs/>
          <w:sz w:val="28"/>
          <w:szCs w:val="28"/>
        </w:rPr>
        <w:t>Границы первого пояса</w:t>
      </w:r>
      <w:r>
        <w:rPr>
          <w:sz w:val="28"/>
          <w:szCs w:val="28"/>
        </w:rPr>
        <w:t xml:space="preserve"> ЗСО водопровода с поверхностным источником устанавливается, с учетом конкретных условий, в следующих пределах:</w:t>
      </w:r>
    </w:p>
    <w:p>
      <w:pPr>
        <w:pStyle w:val="Normal"/>
        <w:spacing w:lineRule="auto" w:line="360" w:before="0" w:after="0"/>
        <w:contextualSpacing/>
        <w:rPr>
          <w:sz w:val="28"/>
          <w:szCs w:val="28"/>
        </w:rPr>
      </w:pPr>
      <w:r>
        <w:rPr>
          <w:sz w:val="28"/>
          <w:szCs w:val="28"/>
        </w:rPr>
        <w:t>а) для водотоков*:</w:t>
      </w:r>
    </w:p>
    <w:p>
      <w:pPr>
        <w:pStyle w:val="Normal"/>
        <w:spacing w:lineRule="auto" w:line="360" w:before="0" w:after="0"/>
        <w:contextualSpacing/>
        <w:rPr>
          <w:sz w:val="28"/>
          <w:szCs w:val="28"/>
        </w:rPr>
      </w:pPr>
      <w:r>
        <w:rPr>
          <w:sz w:val="28"/>
          <w:szCs w:val="28"/>
        </w:rPr>
        <w:t>вверх по течению ¾ не менее 200 м от водозабора;</w:t>
      </w:r>
    </w:p>
    <w:p>
      <w:pPr>
        <w:pStyle w:val="Normal"/>
        <w:spacing w:lineRule="auto" w:line="360" w:before="0" w:after="0"/>
        <w:contextualSpacing/>
        <w:rPr>
          <w:sz w:val="28"/>
          <w:szCs w:val="28"/>
        </w:rPr>
      </w:pPr>
      <w:r>
        <w:rPr>
          <w:sz w:val="28"/>
          <w:szCs w:val="28"/>
        </w:rPr>
        <w:t>вниз по течению ¾ не менее 100 м от водозабора;</w:t>
      </w:r>
    </w:p>
    <w:p>
      <w:pPr>
        <w:pStyle w:val="Normal"/>
        <w:spacing w:lineRule="auto" w:line="360" w:before="0" w:after="0"/>
        <w:contextualSpacing/>
        <w:rPr>
          <w:sz w:val="28"/>
          <w:szCs w:val="28"/>
        </w:rPr>
      </w:pPr>
      <w:r>
        <w:rPr>
          <w:sz w:val="28"/>
          <w:szCs w:val="28"/>
        </w:rPr>
        <w:t>по прилегающему к водозабору берегу ¾ не менее 100 м от линии уреза воды летне-осенней межени;</w:t>
      </w:r>
    </w:p>
    <w:p>
      <w:pPr>
        <w:pStyle w:val="Normal"/>
        <w:spacing w:lineRule="auto" w:line="360" w:before="0" w:after="0"/>
        <w:contextualSpacing/>
        <w:rPr>
          <w:sz w:val="28"/>
          <w:szCs w:val="28"/>
        </w:rPr>
      </w:pPr>
      <w:r>
        <w:rPr>
          <w:sz w:val="28"/>
          <w:szCs w:val="28"/>
        </w:rPr>
        <w:t>в направлении к противоположному от водозабора берегу при ширине реки или канала менее 100 м ¾ вся акватория и противоположный берег шириной 50 м от линии уреза воды при летне-осенней межени, при ширине реки или канала более 100 м ¾ полоса акватории шириной не менее 100 м.</w:t>
      </w:r>
    </w:p>
    <w:p>
      <w:pPr>
        <w:pStyle w:val="Normal"/>
        <w:spacing w:lineRule="auto" w:line="360" w:before="0" w:after="0"/>
        <w:contextualSpacing/>
        <w:rPr>
          <w:sz w:val="28"/>
          <w:szCs w:val="28"/>
        </w:rPr>
      </w:pPr>
      <w:r>
        <w:rPr>
          <w:sz w:val="28"/>
          <w:szCs w:val="28"/>
        </w:rPr>
        <w:t>Отнесение водного объема к водоему или водотоку проводится в соответствии с ГОСТом 17.1.1.02—77 «ОПГ, Классификация водных объектов». По ГОСТу данный источник водоснабжения относится к поверхностному источнику - водотоку.</w:t>
      </w:r>
    </w:p>
    <w:p>
      <w:pPr>
        <w:pStyle w:val="Normal"/>
        <w:spacing w:lineRule="auto" w:line="360" w:before="0" w:after="0"/>
        <w:contextualSpacing/>
        <w:rPr>
          <w:sz w:val="28"/>
          <w:szCs w:val="28"/>
        </w:rPr>
      </w:pPr>
      <w:r>
        <w:rPr>
          <w:b/>
          <w:sz w:val="28"/>
          <w:szCs w:val="28"/>
        </w:rPr>
        <w:t> </w:t>
      </w:r>
      <w:r>
        <w:rPr>
          <w:b/>
          <w:sz w:val="28"/>
          <w:szCs w:val="28"/>
        </w:rPr>
        <w:t>Граница второго пояса</w:t>
      </w:r>
      <w:r>
        <w:rPr>
          <w:sz w:val="28"/>
          <w:szCs w:val="28"/>
        </w:rPr>
        <w:t xml:space="preserve"> ЗСО на водотоке в целях микробного самоочищения должна быть удалена вверх по течению водозабора на столько, чтобы время пробега по основному водотоку и его притокам, при расходе воды в водотоке 95 % обеспеченности, было не менее 5 суток ¾ для 1А, Б, В и Г, а также ПА климатических районов, и не менее 3-х суток ¾для 1Д, ПБ, В, Г, а также III климатического района.</w:t>
      </w:r>
    </w:p>
    <w:p>
      <w:pPr>
        <w:pStyle w:val="Normal"/>
        <w:spacing w:lineRule="auto" w:line="360" w:before="0" w:after="0"/>
        <w:contextualSpacing/>
        <w:rPr>
          <w:sz w:val="28"/>
          <w:szCs w:val="28"/>
        </w:rPr>
      </w:pPr>
      <w:r>
        <w:rPr>
          <w:b/>
          <w:sz w:val="28"/>
          <w:szCs w:val="28"/>
        </w:rPr>
        <w:t>Границы третьего пояса</w:t>
      </w:r>
      <w:r>
        <w:rPr>
          <w:sz w:val="28"/>
          <w:szCs w:val="28"/>
        </w:rPr>
        <w:t xml:space="preserve">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w:t>
      </w:r>
    </w:p>
    <w:p>
      <w:pPr>
        <w:pStyle w:val="Normal"/>
        <w:spacing w:lineRule="auto" w:line="360" w:before="0" w:after="0"/>
        <w:contextualSpacing/>
        <w:rPr>
          <w:b/>
          <w:b/>
          <w:sz w:val="28"/>
          <w:szCs w:val="28"/>
        </w:rPr>
      </w:pPr>
      <w:r>
        <w:rPr>
          <w:b/>
          <w:sz w:val="28"/>
          <w:szCs w:val="28"/>
        </w:rPr>
        <w:t xml:space="preserve"> </w:t>
      </w:r>
      <w:r>
        <w:rPr>
          <w:b/>
          <w:sz w:val="28"/>
          <w:szCs w:val="28"/>
        </w:rPr>
        <w:t>На этой территории запрещаются:</w:t>
      </w:r>
    </w:p>
    <w:p>
      <w:pPr>
        <w:pStyle w:val="Normal"/>
        <w:spacing w:lineRule="auto" w:line="360" w:before="0" w:after="0"/>
        <w:contextualSpacing/>
        <w:rPr>
          <w:sz w:val="28"/>
          <w:szCs w:val="28"/>
        </w:rPr>
      </w:pPr>
      <w:r>
        <w:rPr>
          <w:sz w:val="28"/>
          <w:szCs w:val="28"/>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pPr>
        <w:pStyle w:val="Normal"/>
        <w:spacing w:lineRule="auto" w:line="360" w:before="0" w:after="0"/>
        <w:contextualSpacing/>
        <w:rPr>
          <w:sz w:val="28"/>
          <w:szCs w:val="28"/>
        </w:rPr>
      </w:pPr>
      <w:r>
        <w:rPr>
          <w:sz w:val="28"/>
          <w:szCs w:val="28"/>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pPr>
        <w:pStyle w:val="Normal"/>
        <w:spacing w:lineRule="auto" w:line="360" w:before="0" w:after="0"/>
        <w:contextualSpacing/>
        <w:rPr>
          <w:sz w:val="28"/>
          <w:szCs w:val="28"/>
        </w:rPr>
      </w:pPr>
      <w:r>
        <w:rPr>
          <w:sz w:val="28"/>
          <w:szCs w:val="28"/>
        </w:rPr>
        <w:t>Технологический процесс забора воды из поверхностного источника и транспортирования её в водопроводную сеть не сопровождается вредными выбросами.</w:t>
      </w:r>
    </w:p>
    <w:p>
      <w:pPr>
        <w:pStyle w:val="Normal"/>
        <w:spacing w:lineRule="auto" w:line="360" w:before="0" w:after="0"/>
        <w:contextualSpacing/>
        <w:rPr>
          <w:sz w:val="28"/>
          <w:szCs w:val="28"/>
        </w:rPr>
      </w:pPr>
      <w:bookmarkStart w:id="134" w:name="_Toc360700202"/>
      <w:bookmarkStart w:id="135" w:name="_Toc360699816"/>
      <w:bookmarkStart w:id="136" w:name="_Toc360699430"/>
      <w:bookmarkEnd w:id="134"/>
      <w:bookmarkEnd w:id="135"/>
      <w:bookmarkEnd w:id="136"/>
      <w:r>
        <w:rPr>
          <w:sz w:val="28"/>
          <w:szCs w:val="28"/>
        </w:rPr>
        <w:t>Эксплуатация водопроводной сети, а также ее строительство, не предусматривают каких-либо сбросов вредных веществ в водоемы и на рельеф.</w:t>
      </w:r>
    </w:p>
    <w:p>
      <w:pPr>
        <w:pStyle w:val="Normal"/>
        <w:spacing w:lineRule="auto" w:line="360" w:before="0" w:after="0"/>
        <w:contextualSpacing/>
        <w:rPr>
          <w:sz w:val="28"/>
          <w:szCs w:val="28"/>
        </w:rPr>
      </w:pPr>
      <w:bookmarkStart w:id="137" w:name="_Toc360700204"/>
      <w:bookmarkStart w:id="138" w:name="_Toc360699818"/>
      <w:bookmarkStart w:id="139" w:name="_Toc360699432"/>
      <w:r>
        <w:rPr>
          <w:sz w:val="28"/>
          <w:szCs w:val="28"/>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bookmarkStart w:id="140" w:name="_Toc360700205"/>
      <w:bookmarkStart w:id="141" w:name="_Toc360699819"/>
      <w:bookmarkStart w:id="142" w:name="_Toc360699433"/>
      <w:bookmarkEnd w:id="137"/>
      <w:bookmarkEnd w:id="138"/>
      <w:bookmarkEnd w:id="139"/>
      <w:bookmarkEnd w:id="140"/>
      <w:bookmarkEnd w:id="141"/>
      <w:bookmarkEnd w:id="142"/>
      <w:r>
        <w:rPr>
          <w:sz w:val="28"/>
          <w:szCs w:val="28"/>
        </w:rPr>
        <w:t>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pPr>
        <w:pStyle w:val="Normal"/>
        <w:spacing w:lineRule="auto" w:line="360" w:before="0" w:after="0"/>
        <w:contextualSpacing/>
        <w:rPr>
          <w:sz w:val="28"/>
          <w:szCs w:val="28"/>
        </w:rPr>
      </w:pPr>
      <w:r>
        <w:rPr>
          <w:sz w:val="28"/>
          <w:szCs w:val="28"/>
        </w:rPr>
        <w:t>В Алексеевском муниципальном образовании соблюдаются зоны санитарной охраны, согласно санитарно-эпидемиологическому заключению №38.ИЦ.06.000.Т.000549.07.14 от 28.07.2014 г. на проект зоны санитарной охраны поверхностного источника водоснабжения (Ручей №1 п. Алексеевск, Киренского района Иркутской области)</w:t>
      </w:r>
    </w:p>
    <w:p>
      <w:pPr>
        <w:pStyle w:val="2"/>
        <w:numPr>
          <w:ilvl w:val="0"/>
          <w:numId w:val="0"/>
        </w:numPr>
        <w:spacing w:lineRule="auto" w:line="360" w:before="120" w:after="240"/>
        <w:ind w:left="720" w:firstLine="567"/>
        <w:contextualSpacing/>
        <w:rPr>
          <w:sz w:val="28"/>
          <w:szCs w:val="28"/>
        </w:rPr>
      </w:pPr>
      <w:bookmarkStart w:id="143" w:name="_Toc381715529"/>
      <w:bookmarkStart w:id="144" w:name="_Toc380482170"/>
      <w:r>
        <w:rPr>
          <w:sz w:val="28"/>
          <w:szCs w:val="28"/>
        </w:rPr>
        <w:t>1.5.2. Воздействие на окружающую среду при реализации мероприятий по снабжению и хранению химических реагентов, используемых в водоподготовке (хлор и др.).</w:t>
      </w:r>
      <w:bookmarkEnd w:id="143"/>
      <w:bookmarkEnd w:id="144"/>
      <w:r>
        <w:rPr>
          <w:sz w:val="28"/>
          <w:szCs w:val="28"/>
        </w:rPr>
        <w:t xml:space="preserve"> </w:t>
      </w:r>
    </w:p>
    <w:p>
      <w:pPr>
        <w:pStyle w:val="Normal"/>
        <w:spacing w:lineRule="auto" w:line="360" w:before="0" w:after="0"/>
        <w:contextualSpacing/>
        <w:rPr>
          <w:sz w:val="28"/>
          <w:szCs w:val="28"/>
        </w:rPr>
      </w:pPr>
      <w:r>
        <w:rPr>
          <w:sz w:val="28"/>
          <w:szCs w:val="28"/>
        </w:rPr>
        <w:t>Во избежание негативного воздействия химических реагентов на окружающую природную среду, при их транспортировке, хранении и применении необходимо придерживаться следующих правил:</w:t>
      </w:r>
    </w:p>
    <w:p>
      <w:pPr>
        <w:pStyle w:val="Normal"/>
        <w:numPr>
          <w:ilvl w:val="0"/>
          <w:numId w:val="7"/>
        </w:numPr>
        <w:suppressAutoHyphens w:val="true"/>
        <w:spacing w:lineRule="auto" w:line="360" w:before="0" w:after="0"/>
        <w:ind w:left="0" w:firstLine="567"/>
        <w:contextualSpacing/>
        <w:rPr>
          <w:sz w:val="28"/>
          <w:szCs w:val="28"/>
        </w:rPr>
      </w:pPr>
      <w:r>
        <w:rPr>
          <w:sz w:val="28"/>
          <w:szCs w:val="28"/>
        </w:rPr>
        <w:t xml:space="preserve"> </w:t>
      </w:r>
      <w:bookmarkStart w:id="145" w:name="_GoBack"/>
      <w:bookmarkEnd w:id="145"/>
      <w:r>
        <w:rPr>
          <w:sz w:val="28"/>
          <w:szCs w:val="28"/>
        </w:rPr>
        <w:t>для хранения и транспортирования раствора коагулянта следует применять кислотостойкие материалы и оборудование;</w:t>
      </w:r>
    </w:p>
    <w:p>
      <w:pPr>
        <w:pStyle w:val="Normal"/>
        <w:numPr>
          <w:ilvl w:val="0"/>
          <w:numId w:val="7"/>
        </w:numPr>
        <w:suppressAutoHyphens w:val="true"/>
        <w:spacing w:lineRule="auto" w:line="360" w:before="0" w:after="0"/>
        <w:ind w:left="0" w:firstLine="567"/>
        <w:contextualSpacing/>
        <w:rPr>
          <w:sz w:val="28"/>
          <w:szCs w:val="28"/>
        </w:rPr>
      </w:pPr>
      <w:r>
        <w:rPr>
          <w:sz w:val="28"/>
          <w:szCs w:val="28"/>
        </w:rPr>
        <w:t xml:space="preserve"> </w:t>
      </w:r>
      <w:r>
        <w:rPr>
          <w:sz w:val="28"/>
          <w:szCs w:val="28"/>
        </w:rPr>
        <w:t>условия хранения реагентов должны обеспечивать сохранность их свойств;</w:t>
      </w:r>
    </w:p>
    <w:p>
      <w:pPr>
        <w:pStyle w:val="Normal"/>
        <w:numPr>
          <w:ilvl w:val="0"/>
          <w:numId w:val="7"/>
        </w:numPr>
        <w:suppressAutoHyphens w:val="true"/>
        <w:spacing w:lineRule="auto" w:line="360" w:before="0" w:after="0"/>
        <w:ind w:left="0" w:firstLine="567"/>
        <w:contextualSpacing/>
        <w:rPr>
          <w:sz w:val="28"/>
          <w:szCs w:val="28"/>
        </w:rPr>
      </w:pPr>
      <w:r>
        <w:rPr>
          <w:sz w:val="28"/>
          <w:szCs w:val="28"/>
        </w:rPr>
        <w:t xml:space="preserve"> </w:t>
      </w:r>
      <w:r>
        <w:rPr>
          <w:sz w:val="28"/>
          <w:szCs w:val="28"/>
        </w:rPr>
        <w:t>при небольшой производительности водоочистных станций склад для хранения реагентов допускается оборудовать в блоке непосредственной очистки воды, в отдельном отсеке (помещении);</w:t>
      </w:r>
    </w:p>
    <w:p>
      <w:pPr>
        <w:pStyle w:val="Normal"/>
        <w:numPr>
          <w:ilvl w:val="0"/>
          <w:numId w:val="7"/>
        </w:numPr>
        <w:spacing w:lineRule="auto" w:line="360" w:before="0" w:after="0"/>
        <w:ind w:left="0" w:firstLine="567"/>
        <w:contextualSpacing/>
        <w:rPr>
          <w:sz w:val="28"/>
          <w:szCs w:val="28"/>
        </w:rPr>
      </w:pPr>
      <w:r>
        <w:rPr>
          <w:sz w:val="28"/>
          <w:szCs w:val="28"/>
        </w:rPr>
        <w:t xml:space="preserve"> </w:t>
      </w:r>
      <w:r>
        <w:rPr>
          <w:sz w:val="28"/>
          <w:szCs w:val="28"/>
        </w:rPr>
        <w:t>помещение для хранения химических реагентов должно быть оборудовано дверными запорами, приточно-вытяжной вентиляцией, а также достаточным освещением.</w:t>
      </w:r>
    </w:p>
    <w:p>
      <w:pPr>
        <w:pStyle w:val="Normal"/>
        <w:spacing w:lineRule="auto" w:line="360" w:before="0" w:after="0"/>
        <w:contextualSpacing/>
        <w:rPr>
          <w:sz w:val="28"/>
          <w:szCs w:val="28"/>
        </w:rPr>
      </w:pPr>
      <w:r>
        <w:rPr>
          <w:sz w:val="28"/>
          <w:szCs w:val="28"/>
        </w:rPr>
        <w:t xml:space="preserve">Однако схемой водоснабжения Алексеевского муниципального образования не запланированы мероприятия по водоподготовке. Так как вода, поступающая из поверхностного источника, соответствует требованиям </w:t>
      </w:r>
      <w:r>
        <w:rPr>
          <w:sz w:val="28"/>
          <w:lang w:eastAsia="ru-RU"/>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pPr>
        <w:pStyle w:val="2"/>
        <w:numPr>
          <w:ilvl w:val="0"/>
          <w:numId w:val="0"/>
        </w:numPr>
        <w:spacing w:lineRule="auto" w:line="360" w:before="120" w:after="240"/>
        <w:ind w:left="215" w:hanging="0"/>
        <w:contextualSpacing/>
        <w:rPr>
          <w:sz w:val="28"/>
          <w:szCs w:val="28"/>
        </w:rPr>
      </w:pPr>
      <w:bookmarkStart w:id="146" w:name="_Toc381715530"/>
      <w:bookmarkStart w:id="147" w:name="_Toc380482171"/>
      <w:r>
        <w:rPr>
          <w:sz w:val="28"/>
          <w:szCs w:val="28"/>
        </w:rPr>
        <w:t>1.6 ОЦЕНКА ОБЪЕМОВ КАПИТАЛЬНЫХ ВЛОЖЕНИЙ В СТРОИТЕЛЬСТВО, РЕКОНСТРУКЦИЮ И МОДЕРНИЗАЦИЮ ОБЪЕКТОВ ЦЕНТРАЛИЗОВАННЫХ СИСТЕМ ВОДОСНАБЖЕНИЯ</w:t>
      </w:r>
      <w:bookmarkEnd w:id="146"/>
      <w:bookmarkEnd w:id="147"/>
      <w:r>
        <w:rPr>
          <w:sz w:val="28"/>
          <w:szCs w:val="28"/>
        </w:rPr>
        <w:t>.</w:t>
      </w:r>
    </w:p>
    <w:p>
      <w:pPr>
        <w:pStyle w:val="Normal"/>
        <w:spacing w:lineRule="auto" w:line="360" w:before="0" w:after="0"/>
        <w:contextualSpacing/>
        <w:rPr>
          <w:sz w:val="28"/>
          <w:szCs w:val="28"/>
        </w:rPr>
      </w:pPr>
      <w:r>
        <w:rPr>
          <w:sz w:val="28"/>
          <w:szCs w:val="28"/>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w:t>
      </w:r>
    </w:p>
    <w:p>
      <w:pPr>
        <w:pStyle w:val="Normal"/>
        <w:spacing w:lineRule="auto" w:line="360" w:before="0" w:after="0"/>
        <w:contextualSpacing/>
        <w:rPr>
          <w:sz w:val="28"/>
          <w:szCs w:val="28"/>
        </w:rPr>
      </w:pPr>
      <w:r>
        <w:rPr>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pPr>
        <w:pStyle w:val="Normal"/>
        <w:spacing w:lineRule="auto" w:line="360" w:before="0" w:after="0"/>
        <w:contextualSpacing/>
        <w:rPr>
          <w:sz w:val="28"/>
          <w:szCs w:val="28"/>
        </w:rPr>
      </w:pPr>
      <w:r>
        <w:rPr>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pPr>
        <w:pStyle w:val="Normal"/>
        <w:spacing w:lineRule="auto" w:line="360" w:before="0" w:after="0"/>
        <w:contextualSpacing/>
        <w:rPr>
          <w:sz w:val="28"/>
          <w:szCs w:val="28"/>
        </w:rPr>
      </w:pPr>
      <w:r>
        <w:rPr>
          <w:sz w:val="28"/>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pPr>
        <w:pStyle w:val="Normal"/>
        <w:spacing w:lineRule="auto" w:line="360" w:before="0" w:after="0"/>
        <w:contextualSpacing/>
        <w:rPr>
          <w:sz w:val="28"/>
          <w:szCs w:val="28"/>
        </w:rPr>
      </w:pPr>
      <w:r>
        <w:rPr>
          <w:sz w:val="28"/>
          <w:szCs w:val="28"/>
        </w:rPr>
        <w:t>Ориентировочная стоимость строительства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2019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pPr>
        <w:pStyle w:val="Normal"/>
        <w:spacing w:lineRule="auto" w:line="360" w:before="0" w:after="0"/>
        <w:contextualSpacing/>
        <w:rPr>
          <w:sz w:val="28"/>
          <w:szCs w:val="28"/>
        </w:rPr>
      </w:pPr>
      <w:r>
        <w:rPr>
          <w:sz w:val="28"/>
          <w:szCs w:val="28"/>
        </w:rPr>
        <w:t>Расчетная стоимость мероприятий приводится по этапам реализации, с учётом индексов-дефляторов до 2026 и 2030 (2034) г.г. в соответствии с указаниями Минэкономразвития РФ Письмо № 21790-АК/Д03 от 05.10.2011г. "Об индексах цен и индексах-дефляторах для прогнозирования цен".</w:t>
      </w:r>
    </w:p>
    <w:p>
      <w:pPr>
        <w:pStyle w:val="Normal"/>
        <w:spacing w:lineRule="auto" w:line="360" w:before="0" w:after="0"/>
        <w:contextualSpacing/>
        <w:rPr>
          <w:sz w:val="28"/>
          <w:szCs w:val="28"/>
        </w:rPr>
      </w:pPr>
      <w:r>
        <w:rPr>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pPr>
        <w:pStyle w:val="Normal"/>
        <w:spacing w:lineRule="auto" w:line="360" w:before="0" w:after="0"/>
        <w:contextualSpacing/>
        <w:rPr>
          <w:sz w:val="28"/>
          <w:szCs w:val="28"/>
        </w:rPr>
      </w:pPr>
      <w:r>
        <w:rPr>
          <w:sz w:val="28"/>
          <w:szCs w:val="28"/>
        </w:rPr>
        <w:t>В разработке схемы не учитывались:</w:t>
      </w:r>
    </w:p>
    <w:p>
      <w:pPr>
        <w:pStyle w:val="Normal"/>
        <w:spacing w:lineRule="auto" w:line="360" w:before="0" w:after="0"/>
        <w:contextualSpacing/>
        <w:rPr>
          <w:sz w:val="28"/>
          <w:szCs w:val="28"/>
        </w:rPr>
      </w:pPr>
      <w:r>
        <w:rPr>
          <w:sz w:val="28"/>
          <w:szCs w:val="28"/>
        </w:rPr>
        <w:t>- стоимость резервирования и выкупа земельных участков и недвижимости для государственных и муниципальных нужд;</w:t>
      </w:r>
    </w:p>
    <w:p>
      <w:pPr>
        <w:pStyle w:val="Normal"/>
        <w:spacing w:lineRule="auto" w:line="360" w:before="0" w:after="0"/>
        <w:contextualSpacing/>
        <w:rPr>
          <w:sz w:val="28"/>
          <w:szCs w:val="28"/>
        </w:rPr>
      </w:pPr>
      <w:r>
        <w:rPr>
          <w:sz w:val="28"/>
          <w:szCs w:val="28"/>
        </w:rPr>
        <w:t>- стоимость проведения топографо-геодезических и геологических изысканий на территориях строительства;</w:t>
      </w:r>
    </w:p>
    <w:p>
      <w:pPr>
        <w:pStyle w:val="Normal"/>
        <w:spacing w:lineRule="auto" w:line="360" w:before="0" w:after="0"/>
        <w:contextualSpacing/>
        <w:rPr>
          <w:sz w:val="28"/>
          <w:szCs w:val="28"/>
        </w:rPr>
      </w:pPr>
      <w:r>
        <w:rPr>
          <w:sz w:val="28"/>
          <w:szCs w:val="28"/>
        </w:rPr>
        <w:t>- стоимость мероприятий по сносу и демонтажу зданий и сооружений на территориях строительства;</w:t>
      </w:r>
    </w:p>
    <w:p>
      <w:pPr>
        <w:pStyle w:val="Normal"/>
        <w:spacing w:lineRule="auto" w:line="360" w:before="0" w:after="0"/>
        <w:contextualSpacing/>
        <w:rPr>
          <w:sz w:val="28"/>
          <w:szCs w:val="28"/>
        </w:rPr>
      </w:pPr>
      <w:r>
        <w:rPr>
          <w:sz w:val="28"/>
          <w:szCs w:val="28"/>
        </w:rPr>
        <w:t>- стоимость мероприятий по реконструкции существующих объектов;</w:t>
      </w:r>
    </w:p>
    <w:p>
      <w:pPr>
        <w:pStyle w:val="Normal"/>
        <w:spacing w:lineRule="auto" w:line="360" w:before="0" w:after="0"/>
        <w:contextualSpacing/>
        <w:rPr>
          <w:sz w:val="28"/>
          <w:szCs w:val="28"/>
        </w:rPr>
      </w:pPr>
      <w:r>
        <w:rPr>
          <w:sz w:val="28"/>
          <w:szCs w:val="28"/>
        </w:rPr>
        <w:t xml:space="preserve">- оснащение необходимым оборудованием и благоустройство прилегающей территории; </w:t>
      </w:r>
    </w:p>
    <w:p>
      <w:pPr>
        <w:pStyle w:val="Normal"/>
        <w:spacing w:lineRule="auto" w:line="360" w:before="0" w:after="0"/>
        <w:contextualSpacing/>
        <w:rPr>
          <w:sz w:val="28"/>
          <w:szCs w:val="28"/>
        </w:rPr>
      </w:pPr>
      <w:r>
        <w:rPr>
          <w:sz w:val="28"/>
          <w:szCs w:val="28"/>
        </w:rPr>
        <w:t>- особенности территории строительства.</w:t>
      </w:r>
    </w:p>
    <w:p>
      <w:pPr>
        <w:pStyle w:val="Normal"/>
        <w:spacing w:lineRule="auto" w:line="360" w:before="0" w:after="0"/>
        <w:contextualSpacing/>
        <w:rPr>
          <w:sz w:val="28"/>
          <w:szCs w:val="28"/>
        </w:rPr>
      </w:pPr>
      <w:r>
        <w:rPr>
          <w:sz w:val="28"/>
          <w:szCs w:val="28"/>
        </w:rPr>
        <w:t>Оценка объемов капитальных вложений в строительство, реконструкцию и модернизацию объектов централизованных систем водоснабжения представлена в таблице 1.16.</w:t>
      </w:r>
    </w:p>
    <w:p>
      <w:pPr>
        <w:pStyle w:val="Normal"/>
        <w:spacing w:lineRule="auto" w:line="360" w:before="0" w:after="0"/>
        <w:contextualSpacing/>
        <w:jc w:val="right"/>
        <w:rPr/>
      </w:pPr>
      <w:r>
        <w:rPr>
          <w:sz w:val="28"/>
        </w:rPr>
        <w:t>Табл. 1.</w:t>
      </w:r>
      <w:r>
        <w:rPr>
          <w:sz w:val="28"/>
          <w:szCs w:val="28"/>
        </w:rPr>
        <w:t xml:space="preserve">16 - Оценка объемов капитальных вложений </w:t>
      </w:r>
    </w:p>
    <w:tbl>
      <w:tblPr>
        <w:tblW w:w="9923" w:type="dxa"/>
        <w:jc w:val="left"/>
        <w:tblInd w:w="108" w:type="dxa"/>
        <w:tblBorders>
          <w:top w:val="single" w:sz="4" w:space="0" w:color="000001"/>
          <w:left w:val="single" w:sz="4" w:space="0" w:color="000001"/>
        </w:tblBorders>
        <w:tblCellMar>
          <w:top w:w="0" w:type="dxa"/>
          <w:left w:w="103" w:type="dxa"/>
          <w:bottom w:w="0" w:type="dxa"/>
          <w:right w:w="108" w:type="dxa"/>
        </w:tblCellMar>
        <w:tblLook w:val="0000"/>
      </w:tblPr>
      <w:tblGrid>
        <w:gridCol w:w="708"/>
        <w:gridCol w:w="4254"/>
        <w:gridCol w:w="578"/>
        <w:gridCol w:w="853"/>
        <w:gridCol w:w="1277"/>
        <w:gridCol w:w="1120"/>
        <w:gridCol w:w="1132"/>
      </w:tblGrid>
      <w:tr>
        <w:trPr>
          <w:tblHeader w:val="true"/>
          <w:trHeight w:val="295" w:hRule="atLeast"/>
          <w:cantSplit w:val="true"/>
        </w:trPr>
        <w:tc>
          <w:tcPr>
            <w:tcW w:w="708" w:type="dxa"/>
            <w:vMerge w:val="restart"/>
            <w:tcBorders>
              <w:top w:val="single" w:sz="4" w:space="0" w:color="000001"/>
              <w:left w:val="single" w:sz="4" w:space="0" w:color="000001"/>
            </w:tcBorders>
            <w:shd w:fill="auto" w:val="clear"/>
            <w:tcMar>
              <w:left w:w="103" w:type="dxa"/>
            </w:tcMar>
            <w:vAlign w:val="center"/>
          </w:tcPr>
          <w:p>
            <w:pPr>
              <w:pStyle w:val="Normal"/>
              <w:snapToGrid w:val="false"/>
              <w:spacing w:lineRule="auto" w:line="240" w:before="0" w:after="0"/>
              <w:ind w:left="-108" w:right="-108" w:hanging="0"/>
              <w:jc w:val="center"/>
              <w:rPr>
                <w:b/>
                <w:b/>
                <w:spacing w:val="-10"/>
                <w:szCs w:val="24"/>
              </w:rPr>
            </w:pPr>
            <w:r>
              <w:rPr>
                <w:b/>
                <w:spacing w:val="-10"/>
                <w:szCs w:val="24"/>
              </w:rPr>
              <w:t>№</w:t>
            </w:r>
          </w:p>
          <w:p>
            <w:pPr>
              <w:pStyle w:val="Normal"/>
              <w:snapToGrid w:val="false"/>
              <w:spacing w:lineRule="auto" w:line="240" w:before="0" w:after="0"/>
              <w:ind w:left="-108" w:right="-108" w:hanging="0"/>
              <w:jc w:val="center"/>
              <w:rPr>
                <w:b/>
                <w:b/>
                <w:bCs/>
                <w:spacing w:val="-10"/>
                <w:szCs w:val="24"/>
              </w:rPr>
            </w:pPr>
            <w:r>
              <w:rPr>
                <w:b/>
                <w:spacing w:val="-10"/>
                <w:szCs w:val="24"/>
              </w:rPr>
              <w:t>п/п</w:t>
            </w:r>
          </w:p>
        </w:tc>
        <w:tc>
          <w:tcPr>
            <w:tcW w:w="4254" w:type="dxa"/>
            <w:vMerge w:val="restart"/>
            <w:tcBorders>
              <w:top w:val="single" w:sz="4" w:space="0" w:color="000001"/>
              <w:left w:val="single" w:sz="4" w:space="0" w:color="000001"/>
            </w:tcBorders>
            <w:shd w:fill="auto" w:val="clear"/>
            <w:tcMar>
              <w:left w:w="103" w:type="dxa"/>
            </w:tcMar>
            <w:vAlign w:val="center"/>
          </w:tcPr>
          <w:p>
            <w:pPr>
              <w:pStyle w:val="Normal"/>
              <w:snapToGrid w:val="false"/>
              <w:spacing w:lineRule="auto" w:line="240" w:before="0" w:after="0"/>
              <w:ind w:left="720" w:hanging="0"/>
              <w:jc w:val="center"/>
              <w:rPr>
                <w:b/>
                <w:b/>
                <w:bCs/>
                <w:szCs w:val="24"/>
              </w:rPr>
            </w:pPr>
            <w:r>
              <w:rPr>
                <w:b/>
                <w:bCs/>
                <w:szCs w:val="24"/>
              </w:rPr>
              <w:t>Наименование работ и затрат</w:t>
            </w:r>
          </w:p>
        </w:tc>
        <w:tc>
          <w:tcPr>
            <w:tcW w:w="578" w:type="dxa"/>
            <w:vMerge w:val="restart"/>
            <w:tcBorders>
              <w:top w:val="single" w:sz="4" w:space="0" w:color="000001"/>
              <w:left w:val="single" w:sz="4" w:space="0" w:color="000001"/>
            </w:tcBorders>
            <w:shd w:fill="auto" w:val="clear"/>
            <w:tcMar>
              <w:left w:w="103" w:type="dxa"/>
            </w:tcMar>
            <w:vAlign w:val="center"/>
          </w:tcPr>
          <w:p>
            <w:pPr>
              <w:pStyle w:val="Normal"/>
              <w:snapToGrid w:val="false"/>
              <w:spacing w:lineRule="auto" w:line="240" w:before="0" w:after="0"/>
              <w:ind w:left="720" w:hanging="0"/>
              <w:jc w:val="center"/>
              <w:rPr>
                <w:b/>
                <w:b/>
                <w:spacing w:val="-8"/>
                <w:szCs w:val="24"/>
              </w:rPr>
            </w:pPr>
            <w:r>
              <w:rPr>
                <w:b/>
                <w:spacing w:val="-8"/>
                <w:szCs w:val="24"/>
              </w:rPr>
              <w:t xml:space="preserve">Ед. </w:t>
            </w:r>
          </w:p>
          <w:p>
            <w:pPr>
              <w:pStyle w:val="Normal"/>
              <w:snapToGrid w:val="false"/>
              <w:spacing w:lineRule="auto" w:line="240" w:before="0" w:after="0"/>
              <w:ind w:left="720" w:hanging="0"/>
              <w:jc w:val="center"/>
              <w:rPr>
                <w:b/>
                <w:b/>
                <w:bCs/>
                <w:szCs w:val="24"/>
              </w:rPr>
            </w:pPr>
            <w:r>
              <w:rPr>
                <w:b/>
                <w:spacing w:val="-8"/>
                <w:szCs w:val="24"/>
              </w:rPr>
              <w:t>изм.</w:t>
            </w:r>
          </w:p>
        </w:tc>
        <w:tc>
          <w:tcPr>
            <w:tcW w:w="853" w:type="dxa"/>
            <w:vMerge w:val="restart"/>
            <w:tcBorders>
              <w:top w:val="single" w:sz="4" w:space="0" w:color="000001"/>
              <w:left w:val="single" w:sz="4" w:space="0" w:color="000001"/>
            </w:tcBorders>
            <w:shd w:fill="auto" w:val="clear"/>
            <w:tcMar>
              <w:left w:w="103" w:type="dxa"/>
            </w:tcMar>
            <w:vAlign w:val="center"/>
          </w:tcPr>
          <w:p>
            <w:pPr>
              <w:pStyle w:val="Normal"/>
              <w:snapToGrid w:val="false"/>
              <w:spacing w:lineRule="auto" w:line="240" w:before="0" w:after="0"/>
              <w:ind w:left="-108" w:right="-108" w:hanging="0"/>
              <w:jc w:val="center"/>
              <w:rPr>
                <w:b/>
                <w:b/>
                <w:szCs w:val="24"/>
              </w:rPr>
            </w:pPr>
            <w:r>
              <w:rPr>
                <w:b/>
                <w:szCs w:val="24"/>
              </w:rPr>
              <w:t>Объем работ</w:t>
            </w:r>
          </w:p>
        </w:tc>
        <w:tc>
          <w:tcPr>
            <w:tcW w:w="352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snapToGrid w:val="false"/>
              <w:spacing w:lineRule="auto" w:line="240" w:before="0" w:after="0"/>
              <w:ind w:left="-108" w:right="-108" w:hanging="0"/>
              <w:jc w:val="center"/>
              <w:rPr>
                <w:b/>
                <w:b/>
                <w:bCs/>
                <w:spacing w:val="-10"/>
                <w:szCs w:val="24"/>
              </w:rPr>
            </w:pPr>
            <w:r>
              <w:rPr>
                <w:b/>
                <w:szCs w:val="24"/>
              </w:rPr>
              <w:t>Общая стоимость, тыс. руб.</w:t>
            </w:r>
          </w:p>
        </w:tc>
      </w:tr>
      <w:tr>
        <w:trPr>
          <w:tblHeader w:val="true"/>
          <w:trHeight w:val="652" w:hRule="atLeast"/>
          <w:cantSplit w:val="true"/>
        </w:trPr>
        <w:tc>
          <w:tcPr>
            <w:tcW w:w="708"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snapToGrid w:val="false"/>
              <w:spacing w:lineRule="auto" w:line="240" w:before="0" w:after="0"/>
              <w:ind w:left="-108" w:right="-108" w:hanging="0"/>
              <w:jc w:val="center"/>
              <w:rPr>
                <w:b/>
                <w:b/>
                <w:spacing w:val="-10"/>
                <w:szCs w:val="24"/>
              </w:rPr>
            </w:pPr>
            <w:r>
              <w:rPr>
                <w:b/>
                <w:spacing w:val="-10"/>
                <w:szCs w:val="24"/>
              </w:rPr>
            </w:r>
          </w:p>
        </w:tc>
        <w:tc>
          <w:tcPr>
            <w:tcW w:w="4254"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snapToGrid w:val="false"/>
              <w:spacing w:lineRule="auto" w:line="240" w:before="0" w:after="0"/>
              <w:ind w:left="720" w:hanging="0"/>
              <w:jc w:val="center"/>
              <w:rPr>
                <w:b/>
                <w:b/>
                <w:bCs/>
                <w:szCs w:val="24"/>
              </w:rPr>
            </w:pPr>
            <w:r>
              <w:rPr>
                <w:b/>
                <w:bCs/>
                <w:szCs w:val="24"/>
              </w:rPr>
            </w:r>
          </w:p>
        </w:tc>
        <w:tc>
          <w:tcPr>
            <w:tcW w:w="578"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snapToGrid w:val="false"/>
              <w:spacing w:lineRule="auto" w:line="240" w:before="0" w:after="0"/>
              <w:ind w:left="720" w:hanging="0"/>
              <w:jc w:val="center"/>
              <w:rPr>
                <w:b/>
                <w:b/>
                <w:spacing w:val="-8"/>
                <w:szCs w:val="24"/>
              </w:rPr>
            </w:pPr>
            <w:r>
              <w:rPr>
                <w:b/>
                <w:spacing w:val="-8"/>
                <w:szCs w:val="24"/>
              </w:rPr>
            </w:r>
          </w:p>
        </w:tc>
        <w:tc>
          <w:tcPr>
            <w:tcW w:w="853"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spacing w:lineRule="auto" w:line="240" w:before="0" w:after="0"/>
              <w:ind w:left="720" w:hanging="0"/>
              <w:jc w:val="center"/>
              <w:rPr>
                <w:b/>
                <w:b/>
                <w:szCs w:val="24"/>
              </w:rPr>
            </w:pPr>
            <w:r>
              <w:rPr>
                <w:b/>
                <w:szCs w:val="24"/>
              </w:rPr>
            </w:r>
          </w:p>
        </w:tc>
        <w:tc>
          <w:tcPr>
            <w:tcW w:w="1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spacing w:lineRule="auto" w:line="240" w:before="0" w:after="0"/>
              <w:ind w:left="720" w:hanging="0"/>
              <w:jc w:val="center"/>
              <w:rPr>
                <w:b/>
                <w:b/>
                <w:szCs w:val="24"/>
              </w:rPr>
            </w:pPr>
            <w:r>
              <w:rPr>
                <w:b/>
                <w:szCs w:val="24"/>
              </w:rPr>
              <w:t>1 этап 2023г</w:t>
            </w:r>
          </w:p>
        </w:tc>
        <w:tc>
          <w:tcPr>
            <w:tcW w:w="1120"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spacing w:lineRule="auto" w:line="240" w:before="0" w:after="0"/>
              <w:ind w:left="720" w:hanging="0"/>
              <w:jc w:val="center"/>
              <w:rPr>
                <w:b/>
                <w:b/>
                <w:szCs w:val="24"/>
              </w:rPr>
            </w:pPr>
            <w:r>
              <w:rPr>
                <w:b/>
                <w:szCs w:val="24"/>
              </w:rPr>
              <w:t>2 этап 2034г.</w:t>
            </w:r>
          </w:p>
        </w:tc>
        <w:tc>
          <w:tcPr>
            <w:tcW w:w="11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snapToGrid w:val="false"/>
              <w:spacing w:lineRule="auto" w:line="240" w:before="0" w:after="0"/>
              <w:ind w:left="-108" w:right="-108" w:hanging="0"/>
              <w:jc w:val="center"/>
              <w:rPr>
                <w:b/>
                <w:b/>
                <w:spacing w:val="-10"/>
                <w:szCs w:val="24"/>
              </w:rPr>
            </w:pPr>
            <w:r>
              <w:rPr>
                <w:b/>
                <w:spacing w:val="-10"/>
                <w:szCs w:val="24"/>
              </w:rPr>
              <w:t>всего</w:t>
            </w:r>
          </w:p>
        </w:tc>
      </w:tr>
      <w:tr>
        <w:trPr>
          <w:tblHeader w:val="true"/>
        </w:trPr>
        <w:tc>
          <w:tcPr>
            <w:tcW w:w="708"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Spacing"/>
              <w:jc w:val="center"/>
              <w:rPr>
                <w:rFonts w:ascii="Times New Roman" w:hAnsi="Times New Roman"/>
                <w:b/>
                <w:b/>
                <w:sz w:val="24"/>
                <w:szCs w:val="24"/>
              </w:rPr>
            </w:pPr>
            <w:r>
              <w:rPr>
                <w:rFonts w:ascii="Times New Roman" w:hAnsi="Times New Roman"/>
                <w:b/>
                <w:sz w:val="24"/>
                <w:szCs w:val="24"/>
              </w:rPr>
              <w:t>1</w:t>
            </w:r>
          </w:p>
        </w:tc>
        <w:tc>
          <w:tcPr>
            <w:tcW w:w="4254"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Spacing"/>
              <w:jc w:val="center"/>
              <w:rPr>
                <w:rFonts w:ascii="Times New Roman" w:hAnsi="Times New Roman"/>
                <w:b/>
                <w:b/>
                <w:sz w:val="24"/>
                <w:szCs w:val="24"/>
              </w:rPr>
            </w:pPr>
            <w:r>
              <w:rPr>
                <w:rFonts w:ascii="Times New Roman" w:hAnsi="Times New Roman"/>
                <w:b/>
                <w:sz w:val="24"/>
                <w:szCs w:val="24"/>
              </w:rPr>
              <w:t>2</w:t>
            </w:r>
          </w:p>
        </w:tc>
        <w:tc>
          <w:tcPr>
            <w:tcW w:w="578"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Spacing"/>
              <w:jc w:val="center"/>
              <w:rPr>
                <w:rFonts w:ascii="Times New Roman" w:hAnsi="Times New Roman"/>
                <w:b/>
                <w:b/>
                <w:sz w:val="24"/>
                <w:szCs w:val="24"/>
              </w:rPr>
            </w:pPr>
            <w:r>
              <w:rPr>
                <w:rFonts w:ascii="Times New Roman" w:hAnsi="Times New Roman"/>
                <w:b/>
                <w:sz w:val="24"/>
                <w:szCs w:val="24"/>
              </w:rPr>
              <w:t>3</w:t>
            </w:r>
          </w:p>
        </w:tc>
        <w:tc>
          <w:tcPr>
            <w:tcW w:w="85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snapToGrid w:val="false"/>
              <w:spacing w:lineRule="auto" w:line="240" w:before="0" w:after="0"/>
              <w:ind w:left="720" w:hanging="0"/>
              <w:jc w:val="center"/>
              <w:rPr>
                <w:b/>
                <w:b/>
                <w:szCs w:val="24"/>
              </w:rPr>
            </w:pPr>
            <w:r>
              <w:rPr>
                <w:b/>
                <w:szCs w:val="24"/>
              </w:rPr>
              <w:t>4</w:t>
            </w:r>
          </w:p>
        </w:tc>
        <w:tc>
          <w:tcPr>
            <w:tcW w:w="1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snapToGrid w:val="false"/>
              <w:spacing w:lineRule="auto" w:line="240" w:before="0" w:after="0"/>
              <w:ind w:left="720" w:hanging="0"/>
              <w:jc w:val="center"/>
              <w:rPr>
                <w:b/>
                <w:b/>
                <w:szCs w:val="24"/>
              </w:rPr>
            </w:pPr>
            <w:r>
              <w:rPr>
                <w:b/>
                <w:szCs w:val="24"/>
              </w:rPr>
              <w:t>5</w:t>
            </w:r>
          </w:p>
        </w:tc>
        <w:tc>
          <w:tcPr>
            <w:tcW w:w="1120"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snapToGrid w:val="false"/>
              <w:spacing w:lineRule="auto" w:line="240" w:before="0" w:after="0"/>
              <w:ind w:left="720" w:hanging="0"/>
              <w:jc w:val="center"/>
              <w:rPr>
                <w:b/>
                <w:b/>
                <w:szCs w:val="24"/>
              </w:rPr>
            </w:pPr>
            <w:r>
              <w:rPr>
                <w:b/>
                <w:szCs w:val="24"/>
              </w:rPr>
              <w:t>6</w:t>
            </w:r>
          </w:p>
        </w:tc>
        <w:tc>
          <w:tcPr>
            <w:tcW w:w="11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snapToGrid w:val="false"/>
              <w:spacing w:lineRule="auto" w:line="240" w:before="0" w:after="0"/>
              <w:ind w:left="720" w:hanging="0"/>
              <w:jc w:val="center"/>
              <w:rPr>
                <w:b/>
                <w:b/>
                <w:szCs w:val="24"/>
              </w:rPr>
            </w:pPr>
            <w:r>
              <w:rPr>
                <w:b/>
                <w:szCs w:val="24"/>
              </w:rPr>
              <w:t>7</w:t>
            </w:r>
          </w:p>
        </w:tc>
      </w:tr>
      <w:tr>
        <w:trPr>
          <w:trHeight w:val="291" w:hRule="atLeast"/>
        </w:trPr>
        <w:tc>
          <w:tcPr>
            <w:tcW w:w="9922"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snapToGrid w:val="false"/>
              <w:spacing w:lineRule="auto" w:line="240" w:before="0" w:after="0"/>
              <w:ind w:left="-108" w:hanging="0"/>
              <w:jc w:val="center"/>
              <w:rPr>
                <w:b/>
                <w:b/>
                <w:szCs w:val="24"/>
                <w:u w:val="single"/>
              </w:rPr>
            </w:pPr>
            <w:r>
              <w:rPr>
                <w:b/>
                <w:szCs w:val="24"/>
                <w:u w:val="single"/>
              </w:rPr>
              <w:t>Водоснабжение</w:t>
            </w:r>
          </w:p>
        </w:tc>
      </w:tr>
      <w:tr>
        <w:trPr/>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jc w:val="center"/>
              <w:rPr>
                <w:b/>
                <w:b/>
                <w:szCs w:val="24"/>
              </w:rPr>
            </w:pPr>
            <w:r>
              <w:rPr>
                <w:b/>
                <w:szCs w:val="24"/>
              </w:rPr>
              <w:t>2</w:t>
            </w:r>
          </w:p>
        </w:tc>
        <w:tc>
          <w:tcPr>
            <w:tcW w:w="9214"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ind w:left="-108" w:hanging="0"/>
              <w:jc w:val="center"/>
              <w:rPr>
                <w:b/>
                <w:b/>
                <w:szCs w:val="24"/>
              </w:rPr>
            </w:pPr>
            <w:r>
              <w:rPr>
                <w:b/>
                <w:szCs w:val="24"/>
              </w:rPr>
              <w:t>Алексеевское городское поселение</w:t>
            </w:r>
          </w:p>
        </w:tc>
      </w:tr>
      <w:tr>
        <w:trPr/>
        <w:tc>
          <w:tcPr>
            <w:tcW w:w="7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Spacing"/>
              <w:jc w:val="center"/>
              <w:rPr>
                <w:rFonts w:ascii="Times New Roman" w:hAnsi="Times New Roman"/>
                <w:sz w:val="24"/>
                <w:szCs w:val="24"/>
              </w:rPr>
            </w:pPr>
            <w:r>
              <w:rPr>
                <w:rFonts w:ascii="Times New Roman" w:hAnsi="Times New Roman"/>
                <w:sz w:val="24"/>
                <w:szCs w:val="24"/>
              </w:rPr>
              <w:t>1</w:t>
            </w:r>
          </w:p>
        </w:tc>
        <w:tc>
          <w:tcPr>
            <w:tcW w:w="4254"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spacing w:lineRule="auto" w:line="240" w:before="0" w:after="0"/>
              <w:ind w:left="-108" w:hanging="0"/>
              <w:rPr>
                <w:szCs w:val="24"/>
              </w:rPr>
            </w:pPr>
            <w:r>
              <w:rPr>
                <w:szCs w:val="24"/>
              </w:rPr>
              <w:t>Строительство резервного участка сети</w:t>
            </w:r>
          </w:p>
        </w:tc>
        <w:tc>
          <w:tcPr>
            <w:tcW w:w="578"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Spacing"/>
              <w:ind w:left="-108" w:hanging="0"/>
              <w:jc w:val="center"/>
              <w:rPr>
                <w:rFonts w:ascii="Times New Roman" w:hAnsi="Times New Roman"/>
                <w:sz w:val="24"/>
                <w:szCs w:val="24"/>
              </w:rPr>
            </w:pPr>
            <w:r>
              <w:rPr>
                <w:rFonts w:ascii="Times New Roman" w:hAnsi="Times New Roman"/>
                <w:sz w:val="24"/>
                <w:szCs w:val="24"/>
              </w:rPr>
              <w:t>м</w:t>
            </w:r>
          </w:p>
        </w:tc>
        <w:tc>
          <w:tcPr>
            <w:tcW w:w="85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spacing w:lineRule="auto" w:line="240" w:before="0" w:after="0"/>
              <w:ind w:left="-108" w:hanging="0"/>
              <w:jc w:val="center"/>
              <w:rPr>
                <w:szCs w:val="24"/>
              </w:rPr>
            </w:pPr>
            <w:r>
              <w:rPr>
                <w:szCs w:val="24"/>
              </w:rPr>
              <w:t>380</w:t>
            </w:r>
          </w:p>
        </w:tc>
        <w:tc>
          <w:tcPr>
            <w:tcW w:w="1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spacing w:lineRule="auto" w:line="240" w:before="0" w:after="0"/>
              <w:ind w:left="-108" w:hanging="0"/>
              <w:jc w:val="center"/>
              <w:rPr>
                <w:szCs w:val="24"/>
              </w:rPr>
            </w:pPr>
            <w:r>
              <w:rPr>
                <w:szCs w:val="24"/>
              </w:rPr>
              <w:t>4788,764</w:t>
            </w:r>
          </w:p>
        </w:tc>
        <w:tc>
          <w:tcPr>
            <w:tcW w:w="1120"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spacing w:lineRule="auto" w:line="240" w:before="0" w:after="0"/>
              <w:ind w:left="-108" w:hanging="0"/>
              <w:jc w:val="center"/>
              <w:rPr>
                <w:szCs w:val="24"/>
              </w:rPr>
            </w:pPr>
            <w:r>
              <w:rPr>
                <w:szCs w:val="24"/>
              </w:rPr>
              <w:t>-</w:t>
            </w:r>
          </w:p>
        </w:tc>
        <w:tc>
          <w:tcPr>
            <w:tcW w:w="11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spacing w:lineRule="auto" w:line="240" w:before="0" w:after="0"/>
              <w:ind w:left="-108" w:hanging="0"/>
              <w:jc w:val="center"/>
              <w:rPr>
                <w:szCs w:val="24"/>
              </w:rPr>
            </w:pPr>
            <w:r>
              <w:rPr>
                <w:szCs w:val="24"/>
              </w:rPr>
              <w:t>4788,764</w:t>
            </w:r>
          </w:p>
        </w:tc>
      </w:tr>
      <w:tr>
        <w:trPr/>
        <w:tc>
          <w:tcPr>
            <w:tcW w:w="7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Spacing"/>
              <w:jc w:val="center"/>
              <w:rPr>
                <w:rFonts w:ascii="Times New Roman" w:hAnsi="Times New Roman"/>
                <w:sz w:val="24"/>
                <w:szCs w:val="24"/>
              </w:rPr>
            </w:pPr>
            <w:r>
              <w:rPr>
                <w:rFonts w:ascii="Times New Roman" w:hAnsi="Times New Roman"/>
                <w:sz w:val="24"/>
                <w:szCs w:val="24"/>
              </w:rPr>
            </w:r>
          </w:p>
        </w:tc>
        <w:tc>
          <w:tcPr>
            <w:tcW w:w="4254"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spacing w:lineRule="auto" w:line="240" w:before="0" w:after="0"/>
              <w:ind w:left="-108" w:hanging="0"/>
              <w:jc w:val="right"/>
              <w:rPr>
                <w:b/>
                <w:b/>
                <w:szCs w:val="24"/>
              </w:rPr>
            </w:pPr>
            <w:r>
              <w:rPr>
                <w:b/>
                <w:szCs w:val="24"/>
              </w:rPr>
              <w:t>Итого:</w:t>
            </w:r>
          </w:p>
        </w:tc>
        <w:tc>
          <w:tcPr>
            <w:tcW w:w="578"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Spacing"/>
              <w:ind w:left="-108" w:hanging="0"/>
              <w:jc w:val="center"/>
              <w:rPr>
                <w:rFonts w:ascii="Times New Roman" w:hAnsi="Times New Roman"/>
                <w:b/>
                <w:b/>
                <w:sz w:val="24"/>
                <w:szCs w:val="24"/>
              </w:rPr>
            </w:pPr>
            <w:r>
              <w:rPr>
                <w:rFonts w:ascii="Times New Roman" w:hAnsi="Times New Roman"/>
                <w:b/>
                <w:sz w:val="24"/>
                <w:szCs w:val="24"/>
              </w:rPr>
            </w:r>
          </w:p>
        </w:tc>
        <w:tc>
          <w:tcPr>
            <w:tcW w:w="85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spacing w:lineRule="auto" w:line="240" w:before="0" w:after="0"/>
              <w:ind w:left="-108" w:hanging="0"/>
              <w:jc w:val="center"/>
              <w:rPr>
                <w:b/>
                <w:b/>
                <w:szCs w:val="24"/>
              </w:rPr>
            </w:pPr>
            <w:r>
              <w:rPr>
                <w:b/>
                <w:szCs w:val="24"/>
              </w:rPr>
            </w:r>
          </w:p>
        </w:tc>
        <w:tc>
          <w:tcPr>
            <w:tcW w:w="1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spacing w:lineRule="auto" w:line="240" w:before="0" w:after="0"/>
              <w:ind w:left="-108" w:hanging="0"/>
              <w:jc w:val="center"/>
              <w:rPr>
                <w:b/>
                <w:b/>
                <w:szCs w:val="24"/>
              </w:rPr>
            </w:pPr>
            <w:r>
              <w:rPr>
                <w:b/>
                <w:szCs w:val="24"/>
              </w:rPr>
              <w:t>4788,764</w:t>
            </w:r>
          </w:p>
        </w:tc>
        <w:tc>
          <w:tcPr>
            <w:tcW w:w="1120"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spacing w:lineRule="auto" w:line="240" w:before="0" w:after="0"/>
              <w:ind w:left="-108" w:hanging="0"/>
              <w:jc w:val="center"/>
              <w:rPr>
                <w:b/>
                <w:b/>
                <w:szCs w:val="24"/>
              </w:rPr>
            </w:pPr>
            <w:r>
              <w:rPr>
                <w:b/>
                <w:szCs w:val="24"/>
              </w:rPr>
            </w:r>
          </w:p>
        </w:tc>
        <w:tc>
          <w:tcPr>
            <w:tcW w:w="11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spacing w:lineRule="auto" w:line="240" w:before="0" w:after="0"/>
              <w:ind w:left="-108" w:hanging="0"/>
              <w:jc w:val="center"/>
              <w:rPr>
                <w:b/>
                <w:b/>
                <w:szCs w:val="24"/>
              </w:rPr>
            </w:pPr>
            <w:r>
              <w:rPr>
                <w:b/>
                <w:szCs w:val="24"/>
              </w:rPr>
              <w:t>4788,764</w:t>
            </w:r>
          </w:p>
        </w:tc>
      </w:tr>
    </w:tbl>
    <w:p>
      <w:pPr>
        <w:pStyle w:val="Normal"/>
        <w:spacing w:before="120" w:after="240"/>
        <w:rPr>
          <w:b/>
          <w:b/>
          <w:sz w:val="28"/>
          <w:szCs w:val="28"/>
        </w:rPr>
      </w:pPr>
      <w:r>
        <w:drawing>
          <wp:anchor behindDoc="0" distT="0" distB="0" distL="114300" distR="114300" simplePos="0" locked="0" layoutInCell="1" allowOverlap="1" relativeHeight="3">
            <wp:simplePos x="0" y="0"/>
            <wp:positionH relativeFrom="column">
              <wp:posOffset>1450975</wp:posOffset>
            </wp:positionH>
            <wp:positionV relativeFrom="paragraph">
              <wp:posOffset>311785</wp:posOffset>
            </wp:positionV>
            <wp:extent cx="116205" cy="339725"/>
            <wp:effectExtent l="0" t="0" r="0" b="0"/>
            <wp:wrapNone/>
            <wp:docPr id="13"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
                    <pic:cNvPicPr>
                      <a:picLocks noChangeAspect="1" noChangeArrowheads="1"/>
                    </pic:cNvPicPr>
                  </pic:nvPicPr>
                  <pic:blipFill>
                    <a:blip r:embed="rId8"/>
                    <a:stretch>
                      <a:fillRect/>
                    </a:stretch>
                  </pic:blipFill>
                  <pic:spPr bwMode="auto">
                    <a:xfrm>
                      <a:off x="0" y="0"/>
                      <a:ext cx="116205" cy="339725"/>
                    </a:xfrm>
                    <a:prstGeom prst="rect">
                      <a:avLst/>
                    </a:prstGeom>
                  </pic:spPr>
                </pic:pic>
              </a:graphicData>
            </a:graphic>
          </wp:anchor>
        </w:drawing>
      </w:r>
      <w:r>
        <w:rPr>
          <w:b/>
          <w:sz w:val="28"/>
          <w:szCs w:val="28"/>
          <w:lang w:eastAsia="ru-RU"/>
        </w:rPr>
        <w:t>1</w:t>
      </w:r>
      <w:r>
        <w:rPr>
          <w:b/>
          <w:sz w:val="28"/>
          <w:szCs w:val="28"/>
          <w:lang w:eastAsia="ru-RU"/>
        </w:rPr>
        <w:t>.6.1  Сведения о новом строительстве и реконструкции.</w:t>
      </w:r>
    </w:p>
    <w:p>
      <w:pPr>
        <w:pStyle w:val="13"/>
        <w:spacing w:lineRule="auto" w:line="360"/>
        <w:ind w:left="0" w:hanging="0"/>
        <w:jc w:val="both"/>
        <w:rPr>
          <w:sz w:val="28"/>
          <w:szCs w:val="28"/>
        </w:rPr>
      </w:pPr>
      <w:bookmarkStart w:id="148" w:name="_Toc381715531"/>
      <w:bookmarkStart w:id="149" w:name="_Toc380482172"/>
      <w:r>
        <w:rPr>
          <w:color w:val="FF0000"/>
          <w:sz w:val="28"/>
          <w:szCs w:val="28"/>
        </w:rPr>
        <w:tab/>
      </w:r>
      <w:r>
        <w:rPr>
          <w:sz w:val="28"/>
          <w:szCs w:val="28"/>
        </w:rPr>
        <w:t>В целях реализации схемы и объектов водоснабжения требуется определить стоимость работ по строительству и модернизации на этапе проектирования объектов водоснабжения Алексеевского городского поседения. Сведения о новом строительстве и реконструкции указаны в таблице 1.16.</w:t>
      </w:r>
    </w:p>
    <w:p>
      <w:pPr>
        <w:pStyle w:val="13"/>
        <w:spacing w:lineRule="auto" w:line="360"/>
        <w:ind w:left="0" w:hanging="0"/>
        <w:jc w:val="both"/>
        <w:rPr>
          <w:sz w:val="28"/>
          <w:szCs w:val="28"/>
        </w:rPr>
      </w:pPr>
      <w:r>
        <w:rPr>
          <w:sz w:val="28"/>
          <w:szCs w:val="28"/>
        </w:rPr>
      </w:r>
    </w:p>
    <w:p>
      <w:pPr>
        <w:pStyle w:val="2"/>
        <w:numPr>
          <w:ilvl w:val="0"/>
          <w:numId w:val="0"/>
        </w:numPr>
        <w:spacing w:lineRule="auto" w:line="360" w:before="120" w:after="240"/>
        <w:ind w:left="720" w:firstLine="567"/>
        <w:rPr>
          <w:sz w:val="28"/>
        </w:rPr>
      </w:pPr>
      <w:r>
        <w:rPr/>
        <w:t xml:space="preserve">1.7 </w:t>
      </w:r>
      <w:bookmarkEnd w:id="148"/>
      <w:bookmarkEnd w:id="149"/>
      <w:r>
        <w:rPr>
          <w:sz w:val="28"/>
        </w:rPr>
        <w:t>ЦЕЛЕВЫЕ ПОКАЗАТЕЛИ РАЗВИТИЯ ЦЕНТРАЛИЗОВАННЫХ СИСТЕМ ВОДОСНАБЖЕНИЯ</w:t>
      </w:r>
    </w:p>
    <w:p>
      <w:pPr>
        <w:pStyle w:val="Normal"/>
        <w:spacing w:lineRule="auto" w:line="360" w:before="0" w:after="0"/>
        <w:rPr>
          <w:sz w:val="28"/>
          <w:szCs w:val="20"/>
          <w:lang w:eastAsia="ru-RU"/>
        </w:rPr>
      </w:pPr>
      <w:r>
        <w:rPr>
          <w:sz w:val="28"/>
          <w:szCs w:val="20"/>
          <w:lang w:eastAsia="ru-RU"/>
        </w:rPr>
        <w:t>Динамика целевых показателей развития централизованной системы представлена в таблице 1.17.</w:t>
      </w:r>
    </w:p>
    <w:p>
      <w:pPr>
        <w:pStyle w:val="Normal"/>
        <w:spacing w:lineRule="auto" w:line="360" w:before="0" w:after="0"/>
        <w:ind w:left="720" w:hanging="0"/>
        <w:jc w:val="right"/>
        <w:rPr>
          <w:sz w:val="28"/>
          <w:szCs w:val="20"/>
          <w:lang w:eastAsia="ru-RU"/>
        </w:rPr>
      </w:pPr>
      <w:r>
        <w:rPr>
          <w:sz w:val="28"/>
          <w:szCs w:val="20"/>
          <w:lang w:eastAsia="ru-RU"/>
        </w:rPr>
        <w:t>Табл. 1.17 - Динамика целевых показателей</w:t>
      </w:r>
    </w:p>
    <w:tbl>
      <w:tblPr>
        <w:tblW w:w="5000" w:type="pct"/>
        <w:jc w:val="left"/>
        <w:tblInd w:w="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40" w:type="dxa"/>
        </w:tblCellMar>
        <w:tblLook w:val="0000"/>
      </w:tblPr>
      <w:tblGrid>
        <w:gridCol w:w="2727"/>
        <w:gridCol w:w="4323"/>
        <w:gridCol w:w="1308"/>
        <w:gridCol w:w="1564"/>
      </w:tblGrid>
      <w:tr>
        <w:trPr>
          <w:tblHeader w:val="true"/>
          <w:trHeight w:val="20" w:hRule="atLeast"/>
        </w:trPr>
        <w:tc>
          <w:tcPr>
            <w:tcW w:w="2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b/>
                <w:b/>
                <w:sz w:val="22"/>
              </w:rPr>
            </w:pPr>
            <w:r>
              <w:rPr>
                <w:b/>
                <w:sz w:val="22"/>
                <w:lang w:eastAsia="ru-RU"/>
              </w:rPr>
              <w:t>Группа</w:t>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b/>
                <w:b/>
                <w:sz w:val="22"/>
              </w:rPr>
            </w:pPr>
            <w:r>
              <w:rPr>
                <w:b/>
                <w:sz w:val="22"/>
                <w:lang w:eastAsia="ru-RU"/>
              </w:rPr>
              <w:t>Целевые индикаторы</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b/>
                <w:b/>
                <w:sz w:val="22"/>
                <w:lang w:eastAsia="ru-RU"/>
              </w:rPr>
            </w:pPr>
            <w:r>
              <w:rPr>
                <w:b/>
                <w:sz w:val="22"/>
                <w:lang w:eastAsia="ru-RU"/>
              </w:rPr>
              <w:t>Базовый показатель на 2018год</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b/>
                <w:b/>
                <w:sz w:val="22"/>
              </w:rPr>
            </w:pPr>
            <w:r>
              <w:rPr>
                <w:b/>
                <w:sz w:val="22"/>
              </w:rPr>
              <w:t xml:space="preserve">Планируемые целевые показатели на </w:t>
            </w:r>
            <w:r>
              <w:rPr>
                <w:b/>
                <w:sz w:val="22"/>
                <w:lang w:eastAsia="ru-RU"/>
              </w:rPr>
              <w:t>2034 год</w:t>
            </w:r>
          </w:p>
        </w:tc>
      </w:tr>
      <w:tr>
        <w:trPr>
          <w:trHeight w:val="20" w:hRule="atLeast"/>
        </w:trPr>
        <w:tc>
          <w:tcPr>
            <w:tcW w:w="272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left="720" w:hanging="0"/>
              <w:jc w:val="center"/>
              <w:rPr>
                <w:sz w:val="22"/>
              </w:rPr>
            </w:pPr>
            <w:r>
              <w:rPr>
                <w:sz w:val="22"/>
                <w:lang w:eastAsia="ru-RU"/>
              </w:rPr>
              <w:t>1. Показатели качества воды</w:t>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1. Удельный вес проб воды у потребителя, которые не отвечают гигиеническим нормативам по санитарно-химическим показателям</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left="720" w:hanging="0"/>
              <w:jc w:val="center"/>
              <w:rPr>
                <w:sz w:val="22"/>
              </w:rPr>
            </w:pPr>
            <w:r>
              <w:rPr>
                <w:sz w:val="22"/>
                <w:lang w:eastAsia="ru-RU"/>
              </w:rPr>
              <w:t>0%</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left="720" w:hanging="0"/>
              <w:jc w:val="center"/>
              <w:rPr>
                <w:sz w:val="22"/>
              </w:rPr>
            </w:pPr>
            <w:r>
              <w:rPr>
                <w:sz w:val="22"/>
                <w:lang w:eastAsia="ru-RU"/>
              </w:rPr>
              <w:t>0%</w:t>
            </w:r>
          </w:p>
        </w:tc>
      </w:tr>
      <w:tr>
        <w:trPr>
          <w:trHeight w:val="20" w:hRule="atLeast"/>
        </w:trPr>
        <w:tc>
          <w:tcPr>
            <w:tcW w:w="272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2. Удельный вес проб воды у потребителя, которые не отвечают гигиеническим нормативам по микробиологическим показателям</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left="720" w:hanging="0"/>
              <w:jc w:val="center"/>
              <w:rPr>
                <w:sz w:val="22"/>
              </w:rPr>
            </w:pPr>
            <w:r>
              <w:rPr>
                <w:sz w:val="22"/>
                <w:lang w:eastAsia="ru-RU"/>
              </w:rPr>
              <w:t>0%</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left="720" w:hanging="0"/>
              <w:jc w:val="center"/>
              <w:rPr>
                <w:sz w:val="22"/>
              </w:rPr>
            </w:pPr>
            <w:r>
              <w:rPr>
                <w:sz w:val="22"/>
                <w:lang w:eastAsia="ru-RU"/>
              </w:rPr>
              <w:t>0%</w:t>
            </w:r>
          </w:p>
        </w:tc>
      </w:tr>
      <w:tr>
        <w:trPr>
          <w:trHeight w:val="20" w:hRule="atLeast"/>
        </w:trPr>
        <w:tc>
          <w:tcPr>
            <w:tcW w:w="272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rPr>
            </w:pPr>
            <w:r>
              <w:rPr>
                <w:sz w:val="22"/>
                <w:lang w:eastAsia="ru-RU"/>
              </w:rPr>
              <w:t>2. Показатели надежности и бесперебойности водоснабжения</w:t>
            </w:r>
          </w:p>
          <w:p>
            <w:pPr>
              <w:pStyle w:val="Normal"/>
              <w:spacing w:lineRule="auto" w:line="240" w:before="0" w:after="0"/>
              <w:ind w:left="720" w:hanging="0"/>
              <w:jc w:val="center"/>
              <w:rPr>
                <w:sz w:val="22"/>
                <w:lang w:eastAsia="ru-RU"/>
              </w:rPr>
            </w:pPr>
            <w:r>
              <w:rPr>
                <w:sz w:val="22"/>
                <w:lang w:eastAsia="ru-RU"/>
              </w:rPr>
            </w:r>
          </w:p>
          <w:p>
            <w:pPr>
              <w:pStyle w:val="Normal"/>
              <w:spacing w:lineRule="auto" w:line="240" w:before="0" w:after="0"/>
              <w:jc w:val="center"/>
              <w:rPr>
                <w:sz w:val="22"/>
              </w:rPr>
            </w:pPr>
            <w:r>
              <w:rPr>
                <w:sz w:val="22"/>
              </w:rPr>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1. Водопроводные сети, нуждающиеся в замене, км</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6,6</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0</w:t>
            </w:r>
          </w:p>
        </w:tc>
      </w:tr>
      <w:tr>
        <w:trPr>
          <w:trHeight w:val="20" w:hRule="atLeast"/>
        </w:trPr>
        <w:tc>
          <w:tcPr>
            <w:tcW w:w="272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2. Аварийность на сетях водопровода (ед/км)</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3/11,11</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0/11,11</w:t>
            </w:r>
          </w:p>
        </w:tc>
      </w:tr>
      <w:tr>
        <w:trPr>
          <w:trHeight w:val="20" w:hRule="atLeast"/>
        </w:trPr>
        <w:tc>
          <w:tcPr>
            <w:tcW w:w="272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rPr>
            </w:pPr>
            <w:r>
              <w:rPr>
                <w:sz w:val="22"/>
              </w:rPr>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3. Износ водопроводных сетей (в процентах),%</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60</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w:t>
            </w:r>
          </w:p>
        </w:tc>
      </w:tr>
      <w:tr>
        <w:trPr>
          <w:trHeight w:val="20" w:hRule="atLeast"/>
        </w:trPr>
        <w:tc>
          <w:tcPr>
            <w:tcW w:w="272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left="720" w:hanging="0"/>
              <w:jc w:val="center"/>
              <w:rPr>
                <w:sz w:val="22"/>
              </w:rPr>
            </w:pPr>
            <w:r>
              <w:rPr>
                <w:sz w:val="22"/>
                <w:lang w:eastAsia="ru-RU"/>
              </w:rPr>
              <w:t>3. Показатели качества обслуживания абонентов</w:t>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1. Количество жалоб абонентов на качество питьевой воды (в единицах)</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rPr>
            </w:pPr>
            <w:r>
              <w:rPr>
                <w:sz w:val="22"/>
                <w:lang w:eastAsia="ru-RU"/>
              </w:rPr>
              <w:t>3</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rPr>
            </w:pPr>
            <w:r>
              <w:rPr>
                <w:sz w:val="22"/>
                <w:lang w:eastAsia="ru-RU"/>
              </w:rPr>
              <w:t>0</w:t>
            </w:r>
          </w:p>
        </w:tc>
      </w:tr>
      <w:tr>
        <w:trPr>
          <w:trHeight w:val="20" w:hRule="atLeast"/>
        </w:trPr>
        <w:tc>
          <w:tcPr>
            <w:tcW w:w="272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rPr>
            </w:pPr>
            <w:r>
              <w:rPr>
                <w:sz w:val="22"/>
              </w:rPr>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2. Обеспеченность населения централизованным водоснабжением (в процентах от численности населения)</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rPr>
            </w:pPr>
            <w:r>
              <w:rPr>
                <w:sz w:val="22"/>
                <w:lang w:eastAsia="ru-RU"/>
              </w:rPr>
              <w:t>99%</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rPr>
            </w:pPr>
            <w:r>
              <w:rPr>
                <w:sz w:val="22"/>
                <w:lang w:eastAsia="ru-RU"/>
              </w:rPr>
              <w:t>100%</w:t>
            </w:r>
          </w:p>
        </w:tc>
      </w:tr>
      <w:tr>
        <w:trPr>
          <w:trHeight w:val="20" w:hRule="atLeast"/>
        </w:trPr>
        <w:tc>
          <w:tcPr>
            <w:tcW w:w="272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3. Охват абонентов приборами учета (доля абонентов с приборами учета по отношению к общему числу абонентов, в процентах):</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rPr>
            </w:pPr>
            <w:r>
              <w:rPr>
                <w:sz w:val="22"/>
              </w:rPr>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rPr>
            </w:pPr>
            <w:r>
              <w:rPr>
                <w:sz w:val="22"/>
              </w:rPr>
            </w:r>
          </w:p>
        </w:tc>
      </w:tr>
      <w:tr>
        <w:trPr>
          <w:trHeight w:val="20" w:hRule="atLeast"/>
        </w:trPr>
        <w:tc>
          <w:tcPr>
            <w:tcW w:w="272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rPr>
            </w:pPr>
            <w:r>
              <w:rPr>
                <w:sz w:val="22"/>
              </w:rPr>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население</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84</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100</w:t>
            </w:r>
          </w:p>
        </w:tc>
      </w:tr>
      <w:tr>
        <w:trPr>
          <w:trHeight w:val="20" w:hRule="atLeast"/>
        </w:trPr>
        <w:tc>
          <w:tcPr>
            <w:tcW w:w="272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rPr>
            </w:pPr>
            <w:r>
              <w:rPr>
                <w:sz w:val="22"/>
              </w:rPr>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промышленные объекты</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50</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100</w:t>
            </w:r>
          </w:p>
        </w:tc>
      </w:tr>
      <w:tr>
        <w:trPr>
          <w:trHeight w:val="20" w:hRule="atLeast"/>
        </w:trPr>
        <w:tc>
          <w:tcPr>
            <w:tcW w:w="272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rPr>
            </w:pPr>
            <w:r>
              <w:rPr>
                <w:sz w:val="22"/>
              </w:rPr>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объекты социально-культурного и бытового назначение</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78,5</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100</w:t>
            </w:r>
          </w:p>
        </w:tc>
      </w:tr>
      <w:tr>
        <w:trPr>
          <w:trHeight w:val="20" w:hRule="atLeast"/>
        </w:trPr>
        <w:tc>
          <w:tcPr>
            <w:tcW w:w="272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4. Показатели эффективности использования ресурсов, в том числе сокращения потерь воды при транспортировке</w:t>
            </w:r>
          </w:p>
          <w:p>
            <w:pPr>
              <w:pStyle w:val="Normal"/>
              <w:spacing w:lineRule="auto" w:line="240" w:before="0" w:after="0"/>
              <w:ind w:left="720" w:hanging="0"/>
              <w:jc w:val="center"/>
              <w:rPr>
                <w:sz w:val="22"/>
                <w:lang w:eastAsia="ru-RU"/>
              </w:rPr>
            </w:pPr>
            <w:r>
              <w:rPr>
                <w:sz w:val="22"/>
                <w:lang w:eastAsia="ru-RU"/>
              </w:rPr>
            </w:r>
          </w:p>
          <w:p>
            <w:pPr>
              <w:pStyle w:val="Normal"/>
              <w:spacing w:lineRule="auto" w:line="240" w:before="0" w:after="0"/>
              <w:ind w:left="720" w:hanging="0"/>
              <w:jc w:val="center"/>
              <w:rPr>
                <w:sz w:val="22"/>
                <w:lang w:eastAsia="ru-RU"/>
              </w:rPr>
            </w:pPr>
            <w:r>
              <w:rPr>
                <w:sz w:val="22"/>
                <w:lang w:eastAsia="ru-RU"/>
              </w:rPr>
            </w:r>
          </w:p>
          <w:p>
            <w:pPr>
              <w:pStyle w:val="Normal"/>
              <w:spacing w:lineRule="auto" w:line="240" w:before="0" w:after="0"/>
              <w:jc w:val="center"/>
              <w:rPr>
                <w:sz w:val="22"/>
                <w:lang w:eastAsia="ru-RU"/>
              </w:rPr>
            </w:pPr>
            <w:r>
              <w:rPr>
                <w:sz w:val="22"/>
                <w:lang w:eastAsia="ru-RU"/>
              </w:rPr>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1. Объем неоплаченной воды от общего объема подачи (в процентах)</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w:t>
            </w:r>
          </w:p>
        </w:tc>
      </w:tr>
      <w:tr>
        <w:trPr>
          <w:trHeight w:val="20" w:hRule="atLeast"/>
        </w:trPr>
        <w:tc>
          <w:tcPr>
            <w:tcW w:w="272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jc w:val="center"/>
              <w:rPr>
                <w:sz w:val="22"/>
                <w:lang w:eastAsia="ru-RU"/>
              </w:rPr>
            </w:pPr>
            <w:r>
              <w:rPr>
                <w:sz w:val="22"/>
                <w:lang w:eastAsia="ru-RU"/>
              </w:rPr>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2. Потери воды в кубометрах на километр трубопроводов.</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700</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396</w:t>
            </w:r>
          </w:p>
        </w:tc>
      </w:tr>
      <w:tr>
        <w:trPr>
          <w:trHeight w:val="20" w:hRule="atLeast"/>
        </w:trPr>
        <w:tc>
          <w:tcPr>
            <w:tcW w:w="2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tcPr>
          <w:p>
            <w:pPr>
              <w:pStyle w:val="Normal"/>
              <w:spacing w:lineRule="auto" w:line="240" w:before="0" w:after="0"/>
              <w:ind w:left="720" w:hanging="0"/>
              <w:jc w:val="center"/>
              <w:rPr>
                <w:sz w:val="22"/>
                <w:lang w:eastAsia="ru-RU"/>
              </w:rPr>
            </w:pPr>
            <w:r>
              <w:rPr>
                <w:sz w:val="22"/>
                <w:lang w:eastAsia="ru-RU"/>
              </w:rPr>
              <w:t>5. Соотношение цены реализации мероприятий инвестиционной программы  и эффективности (улучшения качества воды)</w:t>
            </w:r>
          </w:p>
        </w:tc>
        <w:tc>
          <w:tcPr>
            <w:tcW w:w="4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left"/>
              <w:rPr>
                <w:sz w:val="22"/>
                <w:lang w:eastAsia="ru-RU"/>
              </w:rPr>
            </w:pPr>
            <w:r>
              <w:rPr>
                <w:sz w:val="22"/>
                <w:lang w:eastAsia="ru-RU"/>
              </w:rPr>
              <w:t>1. Доля расходов на оплату услуг в совокупном доходе населения (в процентах)</w:t>
            </w:r>
          </w:p>
        </w:tc>
        <w:tc>
          <w:tcPr>
            <w:tcW w:w="13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0" w:type="dxa"/>
            </w:tcMar>
            <w:vAlign w:val="center"/>
          </w:tcPr>
          <w:p>
            <w:pPr>
              <w:pStyle w:val="Normal"/>
              <w:spacing w:lineRule="auto" w:line="240" w:before="0" w:after="0"/>
              <w:ind w:left="720" w:hanging="0"/>
              <w:jc w:val="center"/>
              <w:rPr>
                <w:sz w:val="22"/>
                <w:lang w:eastAsia="ru-RU"/>
              </w:rPr>
            </w:pPr>
            <w:r>
              <w:rPr>
                <w:sz w:val="22"/>
                <w:lang w:eastAsia="ru-RU"/>
              </w:rPr>
              <w:t>-</w:t>
            </w:r>
          </w:p>
        </w:tc>
      </w:tr>
    </w:tbl>
    <w:p>
      <w:pPr>
        <w:pStyle w:val="2"/>
        <w:numPr>
          <w:ilvl w:val="0"/>
          <w:numId w:val="0"/>
        </w:numPr>
        <w:spacing w:before="120" w:after="240"/>
        <w:ind w:left="215" w:hanging="0"/>
        <w:rPr>
          <w:sz w:val="28"/>
          <w:szCs w:val="28"/>
        </w:rPr>
      </w:pPr>
      <w:bookmarkStart w:id="150" w:name="_Toc381715532"/>
      <w:bookmarkStart w:id="151" w:name="_Toc380482173"/>
      <w:r>
        <w:rPr>
          <w:sz w:val="28"/>
          <w:szCs w:val="28"/>
        </w:rPr>
        <w:t>1.8 ПЕРЕЧЕНЬ ВЫЯВЛЕННЫХ БЕСХОЗЯЙНЫХ ОБЪЕКТОВ ЦЕНТРАЛИЗОВАННЫХ СИСТЕМ ВОДОСНАБЖЕНИЯ</w:t>
      </w:r>
      <w:bookmarkEnd w:id="150"/>
      <w:bookmarkEnd w:id="151"/>
      <w:r>
        <w:rPr>
          <w:sz w:val="28"/>
          <w:szCs w:val="28"/>
        </w:rPr>
        <w:t>.</w:t>
      </w:r>
    </w:p>
    <w:p>
      <w:pPr>
        <w:pStyle w:val="82"/>
        <w:shd w:val="clear" w:color="auto" w:fill="auto"/>
        <w:spacing w:lineRule="auto" w:line="360"/>
        <w:ind w:left="20" w:right="20" w:firstLine="700"/>
        <w:jc w:val="both"/>
        <w:rPr>
          <w:sz w:val="28"/>
          <w:szCs w:val="28"/>
        </w:rPr>
      </w:pPr>
      <w:r>
        <w:rPr>
          <w:sz w:val="28"/>
          <w:szCs w:val="28"/>
        </w:rPr>
        <w:t>На момент разработки настоящей схемы водоснабжения в границах муниципального образования не выявлено участков бесхозяйных сетей. В случае обнаружения таковых в последующем, необходимо руководствоваться статьей 8, гл. 3 Закона «О водоснабжении и водоотведении» № 416-ФЗ.</w:t>
      </w:r>
    </w:p>
    <w:p>
      <w:pPr>
        <w:pStyle w:val="82"/>
        <w:shd w:val="clear" w:color="auto" w:fill="auto"/>
        <w:spacing w:lineRule="auto" w:line="360"/>
        <w:ind w:left="20" w:right="20" w:firstLine="700"/>
        <w:jc w:val="both"/>
        <w:rPr>
          <w:sz w:val="28"/>
          <w:szCs w:val="28"/>
        </w:rPr>
      </w:pPr>
      <w:r>
        <w:rPr>
          <w:sz w:val="28"/>
          <w:szCs w:val="28"/>
        </w:rPr>
        <w:t>Выбор организации для обслуживания бесхозяйных объектов централизованных систем водоснабжения производится в соответствии со ст. 8, гл. 3 Закона «О водоснабжении и водоотведении» № 416-ФЗ. Расходы организации, осуществляющей горячее водоснабжение, холодное водоснабжение, на эксплуатацию бесхозяйных объектов централизованных систем горячего водоснабжения, холодного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pPr>
        <w:pStyle w:val="Normal"/>
        <w:spacing w:before="120" w:after="240"/>
        <w:rPr>
          <w:b/>
          <w:b/>
          <w:sz w:val="28"/>
          <w:szCs w:val="28"/>
        </w:rPr>
      </w:pPr>
      <w:r>
        <w:rPr>
          <w:b/>
          <w:sz w:val="28"/>
          <w:szCs w:val="28"/>
        </w:rPr>
        <w:t>1.9 ЭЛЕКТРОННАЯ МОДЕЛЬ СИСТЕМЫ ВОДОСНАБЖЕНИЯ.</w:t>
      </w:r>
    </w:p>
    <w:p>
      <w:pPr>
        <w:pStyle w:val="Normal"/>
        <w:spacing w:lineRule="auto" w:line="360" w:before="0" w:after="0"/>
        <w:rPr/>
      </w:pPr>
      <w:r>
        <w:rPr>
          <w:sz w:val="28"/>
          <w:szCs w:val="28"/>
        </w:rPr>
        <w:t>В соответствии с пунктом 11 Правил разработки и утверждения схем водоснабжения и водоотведения, утвержденных Постановлением Правительства Российской Федерации от 5 сентября 2013 г. № 782, электронная модель систем водоснабжения и (или) водоотведения разрабатывается для поселений, городских округов с населением 150 тыс. человек и более. Численность населения Алексеевского городского поселения на расчетный период 2034 год значительно ниже и составляет 1316 человек.</w:t>
      </w:r>
    </w:p>
    <w:sectPr>
      <w:footerReference w:type="default" r:id="rId9"/>
      <w:type w:val="nextPage"/>
      <w:pgSz w:w="11906" w:h="16838"/>
      <w:pgMar w:left="1134" w:right="849" w:header="0" w:top="567" w:footer="261" w:bottom="709"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mbria">
    <w:charset w:val="cc"/>
    <w:family w:val="roman"/>
    <w:pitch w:val="variable"/>
  </w:font>
  <w:font w:name="Arial">
    <w:charset w:val="cc"/>
    <w:family w:val="roman"/>
    <w:pitch w:val="variable"/>
  </w:font>
  <w:font w:name="Times New Roman">
    <w:charset w:val="cc"/>
    <w:family w:val="roman"/>
    <w:pitch w:val="variable"/>
  </w:font>
  <w:font w:name="Tahoma">
    <w:charset w:val="cc"/>
    <w:family w:val="roman"/>
    <w:pitch w:val="variable"/>
  </w:font>
  <w:font w:name="Courier New">
    <w:charset w:val="cc"/>
    <w:family w:val="roman"/>
    <w:pitch w:val="variable"/>
  </w:font>
  <w:font w:name="MS Reference Sans Serif">
    <w:charset w:val="cc"/>
    <w:family w:val="roman"/>
    <w:pitch w:val="variable"/>
  </w:font>
  <w:font w:name="Liberation Sans">
    <w:altName w:val="Arial"/>
    <w:charset w:val="cc"/>
    <w:family w:val="swiss"/>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instrText> PAGE </w:instrText>
    </w:r>
    <w:r>
      <w:fldChar w:fldCharType="separate"/>
    </w:r>
    <w:r>
      <w:t>4</w:t>
    </w:r>
    <w:r>
      <w:fldChar w:fldCharType="end"/>
    </w:r>
  </w:p>
  <w:p>
    <w:pPr>
      <w:pStyle w:val="Style3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instrText> PAGE </w:instrText>
    </w:r>
    <w:r>
      <w:fldChar w:fldCharType="separate"/>
    </w:r>
    <w:r>
      <w:t>47</w:t>
    </w:r>
    <w: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2"/>
      <w:numFmt w:val="decimal"/>
      <w:lvlText w:val="%2."/>
      <w:lvlJc w:val="left"/>
      <w:pPr>
        <w:ind w:left="792" w:hanging="432"/>
      </w:pPr>
      <w:rPr>
        <w:i w:val="false"/>
        <w:b/>
        <w:rFonts w:cs="Times New Roman"/>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644" w:hanging="360"/>
      </w:pPr>
      <w:rPr>
        <w:rFonts w:cs="Times New Roman"/>
      </w:rPr>
    </w:lvl>
    <w:lvl w:ilvl="1">
      <w:start w:val="1"/>
      <w:numFmt w:val="decimal"/>
      <w:lvlText w:val="%1.%2."/>
      <w:lvlJc w:val="left"/>
      <w:pPr>
        <w:ind w:left="792" w:hanging="432"/>
      </w:pPr>
      <w:rPr>
        <w:sz w:val="28"/>
        <w:i w:val="false"/>
        <w:b/>
        <w:rFonts w:cs="Times New Roman"/>
      </w:rPr>
    </w:lvl>
    <w:lvl w:ilvl="2">
      <w:start w:val="1"/>
      <w:numFmt w:val="decimal"/>
      <w:lvlText w:val="%1.%2.%3."/>
      <w:lvlJc w:val="left"/>
      <w:pPr>
        <w:ind w:left="1355" w:hanging="504"/>
      </w:pPr>
      <w:rPr>
        <w:sz w:val="28"/>
        <w:i w:val="false"/>
        <w:b/>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lvl w:ilvl="0">
      <w:start w:val="1"/>
      <w:numFmt w:val="decimal"/>
      <w:lvlText w:val="%1."/>
      <w:lvlJc w:val="left"/>
      <w:pPr>
        <w:ind w:left="720" w:hanging="360"/>
      </w:pPr>
      <w:rPr>
        <w:rFonts w:cs="Times New Roman"/>
      </w:rPr>
    </w:lvl>
    <w:lvl w:ilvl="1">
      <w:start w:val="4"/>
      <w:numFmt w:val="decimal"/>
      <w:lvlText w:val="%1.%2."/>
      <w:lvlJc w:val="left"/>
      <w:pPr>
        <w:ind w:left="1467" w:hanging="540"/>
      </w:pPr>
      <w:rPr>
        <w:rFonts w:cs="Times New Roman"/>
      </w:rPr>
    </w:lvl>
    <w:lvl w:ilvl="2">
      <w:start w:val="1"/>
      <w:numFmt w:val="decimal"/>
      <w:lvlText w:val="%1.%2.%3."/>
      <w:lvlJc w:val="left"/>
      <w:pPr>
        <w:ind w:left="1647" w:hanging="720"/>
      </w:pPr>
      <w:rPr>
        <w:rFonts w:cs="Times New Roman"/>
      </w:rPr>
    </w:lvl>
    <w:lvl w:ilvl="3">
      <w:start w:val="1"/>
      <w:numFmt w:val="decimal"/>
      <w:lvlText w:val="%1.%2.%3.%4."/>
      <w:lvlJc w:val="left"/>
      <w:pPr>
        <w:ind w:left="1647" w:hanging="720"/>
      </w:pPr>
      <w:rPr>
        <w:rFonts w:cs="Times New Roman"/>
      </w:rPr>
    </w:lvl>
    <w:lvl w:ilvl="4">
      <w:start w:val="1"/>
      <w:numFmt w:val="decimal"/>
      <w:lvlText w:val="%1.%2.%3.%4.%5."/>
      <w:lvlJc w:val="left"/>
      <w:pPr>
        <w:ind w:left="2007" w:hanging="1080"/>
      </w:pPr>
      <w:rPr>
        <w:rFonts w:cs="Times New Roman"/>
      </w:rPr>
    </w:lvl>
    <w:lvl w:ilvl="5">
      <w:start w:val="1"/>
      <w:numFmt w:val="decimal"/>
      <w:lvlText w:val="%1.%2.%3.%4.%5.%6."/>
      <w:lvlJc w:val="left"/>
      <w:pPr>
        <w:ind w:left="2007" w:hanging="1080"/>
      </w:pPr>
      <w:rPr>
        <w:rFonts w:cs="Times New Roman"/>
      </w:rPr>
    </w:lvl>
    <w:lvl w:ilvl="6">
      <w:start w:val="1"/>
      <w:numFmt w:val="decimal"/>
      <w:lvlText w:val="%1.%2.%3.%4.%5.%6.%7."/>
      <w:lvlJc w:val="left"/>
      <w:pPr>
        <w:ind w:left="2367" w:hanging="1440"/>
      </w:pPr>
      <w:rPr>
        <w:rFonts w:cs="Times New Roman"/>
      </w:rPr>
    </w:lvl>
    <w:lvl w:ilvl="7">
      <w:start w:val="1"/>
      <w:numFmt w:val="decimal"/>
      <w:lvlText w:val="%1.%2.%3.%4.%5.%6.%7.%8."/>
      <w:lvlJc w:val="left"/>
      <w:pPr>
        <w:ind w:left="2367" w:hanging="1440"/>
      </w:pPr>
      <w:rPr>
        <w:rFonts w:cs="Times New Roman"/>
      </w:rPr>
    </w:lvl>
    <w:lvl w:ilvl="8">
      <w:start w:val="1"/>
      <w:numFmt w:val="decimal"/>
      <w:lvlText w:val="%1.%2.%3.%4.%5.%6.%7.%8.%9."/>
      <w:lvlJc w:val="left"/>
      <w:pPr>
        <w:ind w:left="2727" w:hanging="1800"/>
      </w:pPr>
      <w:rPr>
        <w:rFonts w:cs="Times New Roman"/>
      </w:rPr>
    </w:lvl>
  </w:abstractNum>
  <w:abstractNum w:abstractNumId="4">
    <w:lvl w:ilvl="0">
      <w:start w:val="1"/>
      <w:numFmt w:val="bullet"/>
      <w:lvlText w:val="-"/>
      <w:lvlJc w:val="left"/>
      <w:pPr>
        <w:ind w:left="1287" w:hanging="360"/>
      </w:pPr>
      <w:rPr>
        <w:rFonts w:ascii="Times New Roman" w:hAnsi="Times New Roman" w:cs="Times New Roman" w:hint="default"/>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5">
    <w:lvl w:ilvl="0">
      <w:start w:val="1"/>
      <w:numFmt w:val="decimal"/>
      <w:lvlText w:val="%1."/>
      <w:lvlJc w:val="left"/>
      <w:pPr>
        <w:ind w:left="540" w:hanging="540"/>
      </w:pPr>
      <w:rPr>
        <w:rFonts w:cs="Times New Roman"/>
      </w:rPr>
    </w:lvl>
    <w:lvl w:ilvl="1">
      <w:start w:val="4"/>
      <w:numFmt w:val="decimal"/>
      <w:lvlText w:val="%1.%2."/>
      <w:lvlJc w:val="left"/>
      <w:pPr>
        <w:ind w:left="966" w:hanging="540"/>
      </w:pPr>
      <w:rPr>
        <w:rFonts w:cs="Times New Roman"/>
      </w:rPr>
    </w:lvl>
    <w:lvl w:ilvl="2">
      <w:start w:val="2"/>
      <w:numFmt w:val="decimal"/>
      <w:lvlText w:val="%1.%2.%3."/>
      <w:lvlJc w:val="left"/>
      <w:pPr>
        <w:ind w:left="1572" w:hanging="720"/>
      </w:pPr>
      <w:rPr>
        <w:rFonts w:cs="Times New Roman"/>
      </w:rPr>
    </w:lvl>
    <w:lvl w:ilvl="3">
      <w:start w:val="1"/>
      <w:numFmt w:val="decimal"/>
      <w:lvlText w:val="%1.%2.%3.%4."/>
      <w:lvlJc w:val="left"/>
      <w:pPr>
        <w:ind w:left="1998" w:hanging="720"/>
      </w:pPr>
      <w:rPr>
        <w:rFonts w:cs="Times New Roman"/>
      </w:rPr>
    </w:lvl>
    <w:lvl w:ilvl="4">
      <w:start w:val="1"/>
      <w:numFmt w:val="decimal"/>
      <w:lvlText w:val="%1.%2.%3.%4.%5."/>
      <w:lvlJc w:val="left"/>
      <w:pPr>
        <w:ind w:left="2784" w:hanging="1080"/>
      </w:pPr>
      <w:rPr>
        <w:rFonts w:cs="Times New Roman"/>
      </w:rPr>
    </w:lvl>
    <w:lvl w:ilvl="5">
      <w:start w:val="1"/>
      <w:numFmt w:val="decimal"/>
      <w:lvlText w:val="%1.%2.%3.%4.%5.%6."/>
      <w:lvlJc w:val="left"/>
      <w:pPr>
        <w:ind w:left="3210" w:hanging="1080"/>
      </w:pPr>
      <w:rPr>
        <w:rFonts w:cs="Times New Roman"/>
      </w:rPr>
    </w:lvl>
    <w:lvl w:ilvl="6">
      <w:start w:val="1"/>
      <w:numFmt w:val="decimal"/>
      <w:lvlText w:val="%1.%2.%3.%4.%5.%6.%7."/>
      <w:lvlJc w:val="left"/>
      <w:pPr>
        <w:ind w:left="3996" w:hanging="1440"/>
      </w:pPr>
      <w:rPr>
        <w:rFonts w:cs="Times New Roman"/>
      </w:rPr>
    </w:lvl>
    <w:lvl w:ilvl="7">
      <w:start w:val="1"/>
      <w:numFmt w:val="decimal"/>
      <w:lvlText w:val="%1.%2.%3.%4.%5.%6.%7.%8."/>
      <w:lvlJc w:val="left"/>
      <w:pPr>
        <w:ind w:left="4422" w:hanging="1440"/>
      </w:pPr>
      <w:rPr>
        <w:rFonts w:cs="Times New Roman"/>
      </w:rPr>
    </w:lvl>
    <w:lvl w:ilvl="8">
      <w:start w:val="1"/>
      <w:numFmt w:val="decimal"/>
      <w:lvlText w:val="%1.%2.%3.%4.%5.%6.%7.%8.%9."/>
      <w:lvlJc w:val="left"/>
      <w:pPr>
        <w:ind w:left="5208" w:hanging="1800"/>
      </w:pPr>
      <w:rPr>
        <w:rFonts w:cs="Times New Roman"/>
      </w:rPr>
    </w:lvl>
  </w:abstractNum>
  <w:abstractNum w:abstractNumId="6">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rPr>
    </w:lvl>
  </w:abstractNum>
  <w:abstractNum w:abstractNumId="8">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embedSystemFonts/>
  <w:defaultTabStop w:val="708"/>
  <w:autoHyphenation w:val="false"/>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4"/>
        <w:lang w:val="ru-RU" w:eastAsia="ru-RU" w:bidi="ar-SA"/>
      </w:rPr>
    </w:rPrDefault>
    <w:pPrDefault>
      <w:pPr/>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footer" w:uiPriority="99"/>
    <w:lsdException w:name="caption" w:locked="1" w:qFormat="1"/>
    <w:lsdException w:name="Title" w:locked="1" w:qFormat="1"/>
    <w:lsdException w:name="Default Paragraph Font" w:locked="1"/>
    <w:lsdException w:name="Body Text Indent" w:locked="1"/>
    <w:lsdException w:name="Subtitle" w:locked="1" w:qFormat="1"/>
    <w:lsdException w:name="Hyperlink" w:locked="1" w:uiPriority="99"/>
    <w:lsdException w:name="Strong" w:locked="1" w:qFormat="1"/>
    <w:lsdException w:name="Emphasis" w:locked="1" w:qFormat="1"/>
    <w:lsdException w:name="Normal (Web)" w:uiPriority="99"/>
    <w:lsdException w:name="Table Grid" w:locked="1"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customStyle="1">
    <w:name w:val="Normal"/>
    <w:qFormat/>
    <w:rsid w:val="004c1493"/>
    <w:pPr>
      <w:widowControl/>
      <w:suppressAutoHyphens w:val="true"/>
      <w:bidi w:val="0"/>
      <w:spacing w:lineRule="auto" w:line="276" w:before="0" w:after="200"/>
      <w:jc w:val="left"/>
    </w:pPr>
    <w:rPr>
      <w:rFonts w:eastAsia="Arial Unicode MS" w:cs="Calibri" w:ascii="Calibri" w:hAnsi="Calibri"/>
      <w:color w:val="00000A"/>
      <w:kern w:val="0"/>
      <w:sz w:val="22"/>
      <w:szCs w:val="22"/>
      <w:lang w:eastAsia="en-US" w:val="ru-RU" w:bidi="ar-SA"/>
    </w:rPr>
  </w:style>
  <w:style w:type="paragraph" w:styleId="1">
    <w:name w:val="Heading 1"/>
    <w:basedOn w:val="Normal"/>
    <w:link w:val="11"/>
    <w:qFormat/>
    <w:rsid w:val="00eb0bb8"/>
    <w:pPr>
      <w:keepNext/>
      <w:keepLines/>
      <w:spacing w:before="480" w:after="0"/>
      <w:outlineLvl w:val="0"/>
    </w:pPr>
    <w:rPr>
      <w:rFonts w:eastAsia="Calibri"/>
      <w:b/>
      <w:bCs/>
      <w:sz w:val="28"/>
      <w:szCs w:val="28"/>
    </w:rPr>
  </w:style>
  <w:style w:type="paragraph" w:styleId="2">
    <w:name w:val="Heading 2"/>
    <w:basedOn w:val="Normal"/>
    <w:link w:val="21"/>
    <w:qFormat/>
    <w:rsid w:val="001f2ffb"/>
    <w:pPr>
      <w:keepNext/>
      <w:keepLines/>
      <w:numPr>
        <w:ilvl w:val="1"/>
        <w:numId w:val="1"/>
      </w:numPr>
      <w:spacing w:before="200" w:after="0"/>
      <w:outlineLvl w:val="1"/>
    </w:pPr>
    <w:rPr>
      <w:rFonts w:eastAsia="Calibri"/>
      <w:b/>
      <w:bCs/>
      <w:sz w:val="26"/>
      <w:szCs w:val="26"/>
    </w:rPr>
  </w:style>
  <w:style w:type="paragraph" w:styleId="3">
    <w:name w:val="Heading 3"/>
    <w:basedOn w:val="Normal"/>
    <w:link w:val="30"/>
    <w:qFormat/>
    <w:rsid w:val="001a618e"/>
    <w:pPr>
      <w:keepNext/>
      <w:keepLines/>
      <w:spacing w:before="200" w:after="0"/>
      <w:outlineLvl w:val="2"/>
    </w:pPr>
    <w:rPr>
      <w:rFonts w:ascii="Cambria" w:hAnsi="Cambria" w:eastAsia="Calibri"/>
      <w:b/>
      <w:bCs/>
      <w:color w:val="4F81BD"/>
      <w:szCs w:val="20"/>
    </w:rPr>
  </w:style>
  <w:style w:type="paragraph" w:styleId="4">
    <w:name w:val="Heading 4"/>
    <w:basedOn w:val="Normal"/>
    <w:link w:val="40"/>
    <w:qFormat/>
    <w:rsid w:val="004d638d"/>
    <w:pPr>
      <w:keepNext/>
      <w:keepLines/>
      <w:spacing w:before="200" w:after="0"/>
      <w:outlineLvl w:val="3"/>
    </w:pPr>
    <w:rPr>
      <w:rFonts w:ascii="Cambria" w:hAnsi="Cambria" w:eastAsia="Calibri"/>
      <w:b/>
      <w:bCs/>
      <w:i/>
      <w:iCs/>
      <w:color w:val="4F81BD"/>
      <w:szCs w:val="20"/>
    </w:rPr>
  </w:style>
  <w:style w:type="paragraph" w:styleId="5">
    <w:name w:val="Heading 5"/>
    <w:basedOn w:val="Normal"/>
    <w:link w:val="50"/>
    <w:semiHidden/>
    <w:unhideWhenUsed/>
    <w:qFormat/>
    <w:locked/>
    <w:rsid w:val="00a910a2"/>
    <w:pPr>
      <w:tabs>
        <w:tab w:val="left" w:pos="1701" w:leader="none"/>
      </w:tabs>
      <w:spacing w:lineRule="auto" w:line="240" w:before="240" w:after="60"/>
      <w:ind w:left="1008" w:hanging="432"/>
      <w:jc w:val="left"/>
      <w:outlineLvl w:val="4"/>
    </w:pPr>
    <w:rPr>
      <w:b/>
      <w:bCs/>
      <w:iCs/>
      <w:sz w:val="22"/>
    </w:rPr>
  </w:style>
  <w:style w:type="paragraph" w:styleId="6">
    <w:name w:val="Heading 6"/>
    <w:basedOn w:val="Normal"/>
    <w:link w:val="60"/>
    <w:semiHidden/>
    <w:unhideWhenUsed/>
    <w:qFormat/>
    <w:locked/>
    <w:rsid w:val="00a910a2"/>
    <w:pPr>
      <w:spacing w:lineRule="auto" w:line="240" w:before="240" w:after="60"/>
      <w:ind w:left="1152" w:hanging="432"/>
      <w:jc w:val="left"/>
      <w:outlineLvl w:val="5"/>
    </w:pPr>
    <w:rPr>
      <w:b/>
      <w:bCs/>
      <w:sz w:val="22"/>
    </w:rPr>
  </w:style>
  <w:style w:type="paragraph" w:styleId="7">
    <w:name w:val="Heading 7"/>
    <w:basedOn w:val="Normal"/>
    <w:link w:val="70"/>
    <w:semiHidden/>
    <w:unhideWhenUsed/>
    <w:qFormat/>
    <w:locked/>
    <w:rsid w:val="00a910a2"/>
    <w:pPr>
      <w:spacing w:lineRule="auto" w:line="240" w:before="240" w:after="60"/>
      <w:ind w:left="1296" w:hanging="288"/>
      <w:jc w:val="left"/>
      <w:outlineLvl w:val="6"/>
    </w:pPr>
    <w:rPr>
      <w:szCs w:val="24"/>
    </w:rPr>
  </w:style>
  <w:style w:type="paragraph" w:styleId="8">
    <w:name w:val="Heading 8"/>
    <w:basedOn w:val="Normal"/>
    <w:link w:val="80"/>
    <w:semiHidden/>
    <w:unhideWhenUsed/>
    <w:qFormat/>
    <w:locked/>
    <w:rsid w:val="00a910a2"/>
    <w:pPr>
      <w:spacing w:lineRule="auto" w:line="240" w:before="240" w:after="60"/>
      <w:ind w:left="1440" w:hanging="432"/>
      <w:jc w:val="left"/>
      <w:outlineLvl w:val="7"/>
    </w:pPr>
    <w:rPr>
      <w:i/>
      <w:iCs/>
      <w:szCs w:val="24"/>
    </w:rPr>
  </w:style>
  <w:style w:type="paragraph" w:styleId="9">
    <w:name w:val="Heading 9"/>
    <w:basedOn w:val="Normal"/>
    <w:link w:val="90"/>
    <w:semiHidden/>
    <w:unhideWhenUsed/>
    <w:qFormat/>
    <w:locked/>
    <w:rsid w:val="00a910a2"/>
    <w:pPr>
      <w:spacing w:lineRule="auto" w:line="240" w:before="240" w:after="60"/>
      <w:ind w:left="1584" w:hanging="144"/>
      <w:jc w:val="left"/>
      <w:outlineLvl w:val="8"/>
    </w:pPr>
    <w:rPr>
      <w:rFonts w:ascii="Arial" w:hAnsi="Arial"/>
      <w:sz w:val="22"/>
    </w:rPr>
  </w:style>
  <w:style w:type="character" w:styleId="DefaultParagraphFont" w:default="1">
    <w:name w:val="Default Paragraph Font"/>
    <w:uiPriority w:val="1"/>
    <w:semiHidden/>
    <w:unhideWhenUsed/>
    <w:qFormat/>
    <w:rPr/>
  </w:style>
  <w:style w:type="character" w:styleId="11" w:customStyle="1">
    <w:name w:val="Заголовок 1 Знак"/>
    <w:link w:val="10"/>
    <w:qFormat/>
    <w:locked/>
    <w:rsid w:val="00eb0bb8"/>
    <w:rPr>
      <w:rFonts w:ascii="Times New Roman" w:hAnsi="Times New Roman" w:cs="Times New Roman"/>
      <w:b/>
      <w:bCs/>
      <w:sz w:val="28"/>
      <w:szCs w:val="28"/>
    </w:rPr>
  </w:style>
  <w:style w:type="character" w:styleId="Style5" w:customStyle="1">
    <w:name w:val="Название Знак"/>
    <w:link w:val="a4"/>
    <w:qFormat/>
    <w:locked/>
    <w:rsid w:val="00971ee7"/>
    <w:rPr>
      <w:rFonts w:ascii="Times New Roman" w:hAnsi="Times New Roman" w:cs="Times New Roman"/>
      <w:b/>
      <w:spacing w:val="5"/>
      <w:kern w:val="2"/>
      <w:sz w:val="52"/>
      <w:szCs w:val="52"/>
    </w:rPr>
  </w:style>
  <w:style w:type="character" w:styleId="21" w:customStyle="1">
    <w:name w:val="Заголовок 2 Знак"/>
    <w:link w:val="20"/>
    <w:qFormat/>
    <w:locked/>
    <w:rsid w:val="001f2ffb"/>
    <w:rPr>
      <w:rFonts w:ascii="Times New Roman" w:hAnsi="Times New Roman" w:cs="Times New Roman"/>
      <w:b/>
      <w:bCs/>
      <w:sz w:val="26"/>
      <w:szCs w:val="26"/>
    </w:rPr>
  </w:style>
  <w:style w:type="character" w:styleId="Annotationreference">
    <w:name w:val="annotation reference"/>
    <w:semiHidden/>
    <w:qFormat/>
    <w:rsid w:val="00d21cdf"/>
    <w:rPr>
      <w:rFonts w:cs="Times New Roman"/>
      <w:sz w:val="16"/>
      <w:szCs w:val="16"/>
    </w:rPr>
  </w:style>
  <w:style w:type="character" w:styleId="Style6" w:customStyle="1">
    <w:name w:val="Текст примечания Знак"/>
    <w:link w:val="a7"/>
    <w:semiHidden/>
    <w:qFormat/>
    <w:locked/>
    <w:rsid w:val="00d21cdf"/>
    <w:rPr>
      <w:rFonts w:ascii="Times New Roman" w:hAnsi="Times New Roman" w:cs="Times New Roman"/>
      <w:sz w:val="20"/>
      <w:szCs w:val="20"/>
    </w:rPr>
  </w:style>
  <w:style w:type="character" w:styleId="Style7" w:customStyle="1">
    <w:name w:val="Тема примечания Знак"/>
    <w:link w:val="a9"/>
    <w:semiHidden/>
    <w:qFormat/>
    <w:locked/>
    <w:rsid w:val="00d21cdf"/>
    <w:rPr>
      <w:rFonts w:ascii="Times New Roman" w:hAnsi="Times New Roman" w:cs="Times New Roman"/>
      <w:b/>
      <w:bCs/>
      <w:sz w:val="20"/>
      <w:szCs w:val="20"/>
    </w:rPr>
  </w:style>
  <w:style w:type="character" w:styleId="Style8" w:customStyle="1">
    <w:name w:val="Текст выноски Знак"/>
    <w:link w:val="ab"/>
    <w:semiHidden/>
    <w:qFormat/>
    <w:locked/>
    <w:rsid w:val="00d21cdf"/>
    <w:rPr>
      <w:rFonts w:ascii="Tahoma" w:hAnsi="Tahoma" w:cs="Tahoma"/>
      <w:sz w:val="16"/>
      <w:szCs w:val="16"/>
    </w:rPr>
  </w:style>
  <w:style w:type="character" w:styleId="Style9" w:customStyle="1">
    <w:name w:val="Примечание Знак"/>
    <w:link w:val="af"/>
    <w:qFormat/>
    <w:locked/>
    <w:rsid w:val="007b2af0"/>
    <w:rPr>
      <w:rFonts w:ascii="Times New Roman" w:hAnsi="Times New Roman" w:cs="Times New Roman"/>
      <w:sz w:val="20"/>
    </w:rPr>
  </w:style>
  <w:style w:type="character" w:styleId="Appleconvertedspace" w:customStyle="1">
    <w:name w:val="apple-converted-space"/>
    <w:qFormat/>
    <w:rsid w:val="00362d93"/>
    <w:rPr>
      <w:rFonts w:cs="Times New Roman"/>
    </w:rPr>
  </w:style>
  <w:style w:type="character" w:styleId="Style10">
    <w:name w:val="Интернет-ссылка"/>
    <w:uiPriority w:val="99"/>
    <w:rsid w:val="00362d93"/>
    <w:rPr>
      <w:rFonts w:cs="Times New Roman"/>
      <w:color w:val="0000FF"/>
      <w:u w:val="single"/>
    </w:rPr>
  </w:style>
  <w:style w:type="character" w:styleId="FontStyle157" w:customStyle="1">
    <w:name w:val="Font Style157"/>
    <w:qFormat/>
    <w:rsid w:val="00670ebe"/>
    <w:rPr>
      <w:rFonts w:eastAsia="Times New Roman"/>
      <w:b/>
      <w:color w:val="00000A"/>
      <w:sz w:val="26"/>
      <w:lang w:val="ru-RU" w:eastAsia="zh-CN"/>
    </w:rPr>
  </w:style>
  <w:style w:type="character" w:styleId="FontStyle158" w:customStyle="1">
    <w:name w:val="Font Style158"/>
    <w:qFormat/>
    <w:rsid w:val="00670ebe"/>
    <w:rPr>
      <w:rFonts w:eastAsia="Times New Roman"/>
      <w:color w:val="00000A"/>
      <w:sz w:val="26"/>
      <w:lang w:val="ru-RU" w:eastAsia="zh-CN"/>
    </w:rPr>
  </w:style>
  <w:style w:type="character" w:styleId="FontStyle163" w:customStyle="1">
    <w:name w:val="Font Style163"/>
    <w:qFormat/>
    <w:rsid w:val="00dc473a"/>
    <w:rPr>
      <w:rFonts w:ascii="Times New Roman" w:hAnsi="Times New Roman"/>
      <w:sz w:val="18"/>
      <w:lang w:val="ru-RU" w:eastAsia="zh-CN"/>
    </w:rPr>
  </w:style>
  <w:style w:type="character" w:styleId="FontStyle162" w:customStyle="1">
    <w:name w:val="Font Style162"/>
    <w:qFormat/>
    <w:rsid w:val="00dc473a"/>
    <w:rPr>
      <w:rFonts w:ascii="Times New Roman" w:hAnsi="Times New Roman"/>
      <w:b/>
      <w:sz w:val="18"/>
      <w:lang w:val="ru-RU" w:eastAsia="zh-CN"/>
    </w:rPr>
  </w:style>
  <w:style w:type="character" w:styleId="Strong">
    <w:name w:val="Strong"/>
    <w:qFormat/>
    <w:rsid w:val="00f00131"/>
    <w:rPr>
      <w:rFonts w:cs="Times New Roman"/>
      <w:b/>
      <w:bCs/>
    </w:rPr>
  </w:style>
  <w:style w:type="character" w:styleId="HTML" w:customStyle="1">
    <w:name w:val="Стандартный HTML Знак"/>
    <w:link w:val="HTML"/>
    <w:semiHidden/>
    <w:qFormat/>
    <w:locked/>
    <w:rsid w:val="00f00131"/>
    <w:rPr>
      <w:rFonts w:ascii="Courier New" w:hAnsi="Courier New" w:cs="Courier New"/>
      <w:sz w:val="20"/>
      <w:szCs w:val="20"/>
      <w:lang w:eastAsia="ru-RU"/>
    </w:rPr>
  </w:style>
  <w:style w:type="character" w:styleId="Blk" w:customStyle="1">
    <w:name w:val="blk"/>
    <w:qFormat/>
    <w:rsid w:val="00f00131"/>
    <w:rPr>
      <w:rFonts w:cs="Times New Roman"/>
    </w:rPr>
  </w:style>
  <w:style w:type="character" w:styleId="F" w:customStyle="1">
    <w:name w:val="f"/>
    <w:qFormat/>
    <w:rsid w:val="00ac4bfb"/>
    <w:rPr>
      <w:rFonts w:cs="Times New Roman"/>
    </w:rPr>
  </w:style>
  <w:style w:type="character" w:styleId="Style11" w:customStyle="1">
    <w:name w:val="Основной текст с отступом Знак"/>
    <w:link w:val="af7"/>
    <w:qFormat/>
    <w:locked/>
    <w:rsid w:val="00da123e"/>
    <w:rPr>
      <w:rFonts w:ascii="Arial" w:hAnsi="Arial" w:eastAsia="Arial Unicode MS" w:cs="Arial"/>
      <w:color w:val="00000A"/>
    </w:rPr>
  </w:style>
  <w:style w:type="character" w:styleId="12" w:customStyle="1">
    <w:name w:val="Замещающий текст1"/>
    <w:semiHidden/>
    <w:qFormat/>
    <w:rsid w:val="000f3bc2"/>
    <w:rPr>
      <w:rFonts w:cs="Times New Roman"/>
      <w:color w:val="808080"/>
    </w:rPr>
  </w:style>
  <w:style w:type="character" w:styleId="Style12" w:customStyle="1">
    <w:name w:val="Верхний колонтитул Знак"/>
    <w:link w:val="af9"/>
    <w:uiPriority w:val="99"/>
    <w:qFormat/>
    <w:locked/>
    <w:rsid w:val="00bd2610"/>
    <w:rPr>
      <w:rFonts w:ascii="Times New Roman" w:hAnsi="Times New Roman" w:cs="Times New Roman"/>
      <w:sz w:val="24"/>
    </w:rPr>
  </w:style>
  <w:style w:type="character" w:styleId="Style13" w:customStyle="1">
    <w:name w:val="Нижний колонтитул Знак"/>
    <w:link w:val="afb"/>
    <w:uiPriority w:val="99"/>
    <w:qFormat/>
    <w:locked/>
    <w:rsid w:val="00bd2610"/>
    <w:rPr>
      <w:rFonts w:ascii="Times New Roman" w:hAnsi="Times New Roman" w:cs="Times New Roman"/>
      <w:sz w:val="24"/>
    </w:rPr>
  </w:style>
  <w:style w:type="character" w:styleId="FontStyle23" w:customStyle="1">
    <w:name w:val="Font Style23"/>
    <w:qFormat/>
    <w:rsid w:val="005c4601"/>
    <w:rPr>
      <w:rFonts w:ascii="MS Reference Sans Serif" w:hAnsi="MS Reference Sans Serif" w:cs="MS Reference Sans Serif"/>
      <w:sz w:val="16"/>
      <w:szCs w:val="16"/>
    </w:rPr>
  </w:style>
  <w:style w:type="character" w:styleId="41" w:customStyle="1">
    <w:name w:val="Заголовок 4 Знак"/>
    <w:link w:val="4"/>
    <w:semiHidden/>
    <w:qFormat/>
    <w:locked/>
    <w:rsid w:val="004d638d"/>
    <w:rPr>
      <w:rFonts w:ascii="Cambria" w:hAnsi="Cambria" w:cs="Times New Roman"/>
      <w:b/>
      <w:bCs/>
      <w:i/>
      <w:iCs/>
      <w:color w:val="4F81BD"/>
      <w:sz w:val="24"/>
    </w:rPr>
  </w:style>
  <w:style w:type="character" w:styleId="Style14" w:customStyle="1">
    <w:name w:val="Основной текст Знак"/>
    <w:link w:val="afd"/>
    <w:semiHidden/>
    <w:qFormat/>
    <w:locked/>
    <w:rsid w:val="004d638d"/>
    <w:rPr>
      <w:rFonts w:ascii="Times New Roman" w:hAnsi="Times New Roman" w:cs="Times New Roman"/>
      <w:sz w:val="24"/>
    </w:rPr>
  </w:style>
  <w:style w:type="character" w:styleId="31" w:customStyle="1">
    <w:name w:val="Заголовок 3 Знак"/>
    <w:link w:val="3"/>
    <w:qFormat/>
    <w:locked/>
    <w:rsid w:val="001a618e"/>
    <w:rPr>
      <w:rFonts w:ascii="Cambria" w:hAnsi="Cambria" w:cs="Times New Roman"/>
      <w:b/>
      <w:bCs/>
      <w:color w:val="4F81BD"/>
      <w:sz w:val="24"/>
    </w:rPr>
  </w:style>
  <w:style w:type="character" w:styleId="Style15" w:customStyle="1">
    <w:name w:val="Без интервала Знак"/>
    <w:link w:val="aff"/>
    <w:uiPriority w:val="1"/>
    <w:qFormat/>
    <w:rsid w:val="002b4bce"/>
    <w:rPr>
      <w:rFonts w:eastAsia="Times New Roman"/>
      <w:sz w:val="22"/>
      <w:szCs w:val="22"/>
      <w:lang w:bidi="ar-SA"/>
    </w:rPr>
  </w:style>
  <w:style w:type="character" w:styleId="Style16" w:customStyle="1">
    <w:name w:val="Абзац списка Знак"/>
    <w:link w:val="aff1"/>
    <w:uiPriority w:val="34"/>
    <w:qFormat/>
    <w:locked/>
    <w:rsid w:val="002b4bce"/>
    <w:rPr>
      <w:rFonts w:eastAsia="Times New Roman"/>
      <w:sz w:val="22"/>
      <w:szCs w:val="22"/>
    </w:rPr>
  </w:style>
  <w:style w:type="character" w:styleId="Style17" w:customStyle="1">
    <w:name w:val="Абзац Знак"/>
    <w:link w:val="aff3"/>
    <w:qFormat/>
    <w:rsid w:val="0097736d"/>
    <w:rPr>
      <w:rFonts w:ascii="Times New Roman" w:hAnsi="Times New Roman" w:eastAsia="Times New Roman"/>
      <w:sz w:val="24"/>
      <w:szCs w:val="24"/>
    </w:rPr>
  </w:style>
  <w:style w:type="character" w:styleId="Style18" w:customStyle="1">
    <w:name w:val="Основной текст_"/>
    <w:link w:val="81"/>
    <w:qFormat/>
    <w:rsid w:val="00f15869"/>
    <w:rPr>
      <w:rFonts w:ascii="Times New Roman" w:hAnsi="Times New Roman" w:eastAsia="Times New Roman"/>
      <w:sz w:val="22"/>
      <w:szCs w:val="22"/>
      <w:shd w:fill="FFFFFF" w:val="clear"/>
    </w:rPr>
  </w:style>
  <w:style w:type="character" w:styleId="42" w:customStyle="1">
    <w:name w:val="Основной текст4"/>
    <w:qFormat/>
    <w:rsid w:val="00f15869"/>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2"/>
      <w:szCs w:val="22"/>
      <w:u w:val="none"/>
      <w:lang w:val="ru-RU" w:eastAsia="ru-RU" w:bidi="ru-RU"/>
    </w:rPr>
  </w:style>
  <w:style w:type="character" w:styleId="32" w:customStyle="1">
    <w:name w:val="Заголовок №3_"/>
    <w:qFormat/>
    <w:rsid w:val="006920b7"/>
    <w:rPr>
      <w:rFonts w:ascii="Times New Roman" w:hAnsi="Times New Roman" w:eastAsia="Times New Roman" w:cs="Times New Roman"/>
      <w:b w:val="false"/>
      <w:bCs w:val="false"/>
      <w:i w:val="false"/>
      <w:iCs w:val="false"/>
      <w:caps w:val="false"/>
      <w:smallCaps w:val="false"/>
      <w:strike w:val="false"/>
      <w:dstrike w:val="false"/>
      <w:sz w:val="22"/>
      <w:szCs w:val="22"/>
      <w:u w:val="none"/>
    </w:rPr>
  </w:style>
  <w:style w:type="character" w:styleId="33" w:customStyle="1">
    <w:name w:val="Заголовок №3"/>
    <w:qFormat/>
    <w:rsid w:val="006920b7"/>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2"/>
      <w:szCs w:val="22"/>
      <w:u w:val="none"/>
      <w:lang w:val="ru-RU" w:eastAsia="ru-RU" w:bidi="ru-RU"/>
    </w:rPr>
  </w:style>
  <w:style w:type="character" w:styleId="51" w:customStyle="1">
    <w:name w:val="Заголовок 5 Знак"/>
    <w:basedOn w:val="DefaultParagraphFont"/>
    <w:link w:val="5"/>
    <w:semiHidden/>
    <w:qFormat/>
    <w:rsid w:val="00a910a2"/>
    <w:rPr>
      <w:rFonts w:ascii="Times New Roman" w:hAnsi="Times New Roman" w:eastAsia="Times New Roman"/>
      <w:b/>
      <w:bCs/>
      <w:iCs/>
      <w:sz w:val="22"/>
      <w:szCs w:val="22"/>
    </w:rPr>
  </w:style>
  <w:style w:type="character" w:styleId="61" w:customStyle="1">
    <w:name w:val="Заголовок 6 Знак"/>
    <w:basedOn w:val="DefaultParagraphFont"/>
    <w:link w:val="6"/>
    <w:semiHidden/>
    <w:qFormat/>
    <w:rsid w:val="00a910a2"/>
    <w:rPr>
      <w:rFonts w:ascii="Times New Roman" w:hAnsi="Times New Roman" w:eastAsia="Times New Roman"/>
      <w:b/>
      <w:bCs/>
      <w:sz w:val="22"/>
      <w:szCs w:val="22"/>
    </w:rPr>
  </w:style>
  <w:style w:type="character" w:styleId="71" w:customStyle="1">
    <w:name w:val="Заголовок 7 Знак"/>
    <w:basedOn w:val="DefaultParagraphFont"/>
    <w:link w:val="7"/>
    <w:semiHidden/>
    <w:qFormat/>
    <w:rsid w:val="00a910a2"/>
    <w:rPr>
      <w:rFonts w:ascii="Times New Roman" w:hAnsi="Times New Roman" w:eastAsia="Times New Roman"/>
      <w:sz w:val="24"/>
      <w:szCs w:val="24"/>
    </w:rPr>
  </w:style>
  <w:style w:type="character" w:styleId="81" w:customStyle="1">
    <w:name w:val="Заголовок 8 Знак"/>
    <w:basedOn w:val="DefaultParagraphFont"/>
    <w:link w:val="8"/>
    <w:semiHidden/>
    <w:qFormat/>
    <w:rsid w:val="00a910a2"/>
    <w:rPr>
      <w:rFonts w:ascii="Times New Roman" w:hAnsi="Times New Roman" w:eastAsia="Times New Roman"/>
      <w:i/>
      <w:iCs/>
      <w:sz w:val="24"/>
      <w:szCs w:val="24"/>
    </w:rPr>
  </w:style>
  <w:style w:type="character" w:styleId="91" w:customStyle="1">
    <w:name w:val="Заголовок 9 Знак"/>
    <w:basedOn w:val="DefaultParagraphFont"/>
    <w:link w:val="9"/>
    <w:semiHidden/>
    <w:qFormat/>
    <w:rsid w:val="00a910a2"/>
    <w:rPr>
      <w:rFonts w:ascii="Arial" w:hAnsi="Arial" w:eastAsia="Times New Roman"/>
      <w:sz w:val="22"/>
      <w:szCs w:val="22"/>
    </w:rPr>
  </w:style>
  <w:style w:type="character" w:styleId="Style19">
    <w:name w:val="Выделение"/>
    <w:qFormat/>
    <w:locked/>
    <w:rsid w:val="00a910a2"/>
    <w:rPr>
      <w:b/>
      <w:bCs/>
      <w:i/>
      <w:iCs/>
      <w:color w:val="5A5A5A"/>
    </w:rPr>
  </w:style>
  <w:style w:type="character" w:styleId="22" w:customStyle="1">
    <w:name w:val="Название объекта Знак2"/>
    <w:link w:val="af3"/>
    <w:qFormat/>
    <w:locked/>
    <w:rsid w:val="00324ff0"/>
    <w:rPr>
      <w:rFonts w:ascii="Times New Roman" w:hAnsi="Times New Roman"/>
      <w:b/>
      <w:bCs/>
      <w:color w:val="4F81BD"/>
      <w:sz w:val="18"/>
      <w:szCs w:val="18"/>
      <w:lang w:eastAsia="en-US"/>
    </w:rPr>
  </w:style>
  <w:style w:type="character" w:styleId="Style20" w:customStyle="1">
    <w:name w:val="Список Знак"/>
    <w:link w:val="a"/>
    <w:qFormat/>
    <w:locked/>
    <w:rsid w:val="00324ff0"/>
    <w:rPr>
      <w:sz w:val="24"/>
      <w:szCs w:val="24"/>
    </w:rPr>
  </w:style>
  <w:style w:type="character" w:styleId="ListLabel1">
    <w:name w:val="ListLabel 1"/>
    <w:qFormat/>
    <w:rPr>
      <w:rFonts w:cs="Times New Roman"/>
    </w:rPr>
  </w:style>
  <w:style w:type="character" w:styleId="ListLabel2">
    <w:name w:val="ListLabel 2"/>
    <w:qFormat/>
    <w:rPr>
      <w:rFonts w:cs="Times New Roman"/>
      <w:b/>
      <w:i w:val="false"/>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cs="Times New Roman"/>
      <w:b/>
      <w:i w:val="false"/>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Times New Roman"/>
    </w:rPr>
  </w:style>
  <w:style w:type="character" w:styleId="ListLabel20">
    <w:name w:val="ListLabel 20"/>
    <w:qFormat/>
    <w:rPr>
      <w:rFonts w:cs="Times New Roman"/>
      <w:b/>
      <w:i w:val="false"/>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cs="Times New Roman"/>
      <w:b/>
      <w:i w:val="false"/>
      <w:sz w:val="28"/>
    </w:rPr>
  </w:style>
  <w:style w:type="character" w:styleId="ListLabel30">
    <w:name w:val="ListLabel 30"/>
    <w:qFormat/>
    <w:rPr>
      <w:rFonts w:cs="Times New Roman"/>
      <w:b/>
      <w:i w:val="false"/>
      <w:sz w:val="28"/>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cs="Times New Roman"/>
    </w:rPr>
  </w:style>
  <w:style w:type="character" w:styleId="ListLabel38">
    <w:name w:val="ListLabel 38"/>
    <w:qFormat/>
    <w:rPr>
      <w:rFonts w:cs="Times New Roman"/>
    </w:rPr>
  </w:style>
  <w:style w:type="character" w:styleId="ListLabel39">
    <w:name w:val="ListLabel 39"/>
    <w:qFormat/>
    <w:rPr>
      <w:rFonts w:cs="Times New Roman"/>
    </w:rPr>
  </w:style>
  <w:style w:type="character" w:styleId="ListLabel40">
    <w:name w:val="ListLabel 40"/>
    <w:qFormat/>
    <w:rPr>
      <w:rFonts w:cs="Times New Roman"/>
    </w:rPr>
  </w:style>
  <w:style w:type="character" w:styleId="ListLabel41">
    <w:name w:val="ListLabel 41"/>
    <w:qFormat/>
    <w:rPr>
      <w:rFonts w:cs="Times New Roman"/>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Times New Roman"/>
    </w:rPr>
  </w:style>
  <w:style w:type="character" w:styleId="ListLabel48">
    <w:name w:val="ListLabel 48"/>
    <w:qFormat/>
    <w:rPr>
      <w:rFonts w:cs="Times New Roman"/>
    </w:rPr>
  </w:style>
  <w:style w:type="character" w:styleId="ListLabel49">
    <w:name w:val="ListLabel 49"/>
    <w:qFormat/>
    <w:rPr>
      <w:rFonts w:cs="Times New Roman"/>
    </w:rPr>
  </w:style>
  <w:style w:type="character" w:styleId="ListLabel50">
    <w:name w:val="ListLabel 50"/>
    <w:qFormat/>
    <w:rPr>
      <w:rFonts w:cs="Times New Roman"/>
    </w:rPr>
  </w:style>
  <w:style w:type="character" w:styleId="ListLabel51">
    <w:name w:val="ListLabel 51"/>
    <w:qFormat/>
    <w:rPr>
      <w:rFonts w:cs="Times New Roman"/>
    </w:rPr>
  </w:style>
  <w:style w:type="character" w:styleId="ListLabel52">
    <w:name w:val="ListLabel 52"/>
    <w:qFormat/>
    <w:rPr>
      <w:rFonts w:cs="Times New Roman"/>
    </w:rPr>
  </w:style>
  <w:style w:type="character" w:styleId="ListLabel53">
    <w:name w:val="ListLabel 53"/>
    <w:qFormat/>
    <w:rPr>
      <w:rFonts w:cs="Times New Roman"/>
    </w:rPr>
  </w:style>
  <w:style w:type="character" w:styleId="ListLabel54">
    <w:name w:val="ListLabel 54"/>
    <w:qFormat/>
    <w:rPr>
      <w:rFonts w:cs="Times New Roman"/>
    </w:rPr>
  </w:style>
  <w:style w:type="character" w:styleId="ListLabel55">
    <w:name w:val="ListLabel 55"/>
    <w:qFormat/>
    <w:rPr>
      <w:rFonts w:cs="Times New Roman"/>
    </w:rPr>
  </w:style>
  <w:style w:type="character" w:styleId="ListLabel56">
    <w:name w:val="ListLabel 56"/>
    <w:qFormat/>
    <w:rPr>
      <w:rFonts w:cs="Times New Roman"/>
    </w:rPr>
  </w:style>
  <w:style w:type="character" w:styleId="ListLabel57">
    <w:name w:val="ListLabel 57"/>
    <w:qFormat/>
    <w:rPr>
      <w:rFonts w:cs="Times New Roman"/>
    </w:rPr>
  </w:style>
  <w:style w:type="character" w:styleId="ListLabel58">
    <w:name w:val="ListLabel 58"/>
    <w:qFormat/>
    <w:rPr>
      <w:rFonts w:cs="Times New Roman"/>
    </w:rPr>
  </w:style>
  <w:style w:type="character" w:styleId="ListLabel59">
    <w:name w:val="ListLabel 59"/>
    <w:qFormat/>
    <w:rPr>
      <w:rFonts w:cs="Times New Roman"/>
    </w:rPr>
  </w:style>
  <w:style w:type="character" w:styleId="ListLabel60">
    <w:name w:val="ListLabel 60"/>
    <w:qFormat/>
    <w:rPr>
      <w:rFonts w:cs="Times New Roman"/>
    </w:rPr>
  </w:style>
  <w:style w:type="character" w:styleId="ListLabel61">
    <w:name w:val="ListLabel 61"/>
    <w:qFormat/>
    <w:rPr>
      <w:rFonts w:cs="Times New Roman"/>
    </w:rPr>
  </w:style>
  <w:style w:type="character" w:styleId="ListLabel62">
    <w:name w:val="ListLabel 62"/>
    <w:qFormat/>
    <w:rPr>
      <w:rFonts w:cs="Times New Roman"/>
    </w:rPr>
  </w:style>
  <w:style w:type="character" w:styleId="ListLabel63">
    <w:name w:val="ListLabel 63"/>
    <w:qFormat/>
    <w:rPr>
      <w:rFonts w:cs="Times New Roman"/>
    </w:rPr>
  </w:style>
  <w:style w:type="character" w:styleId="ListLabel64">
    <w:name w:val="ListLabel 64"/>
    <w:qFormat/>
    <w:rPr>
      <w:rFonts w:cs="Times New Roman"/>
    </w:rPr>
  </w:style>
  <w:style w:type="character" w:styleId="ListLabel65">
    <w:name w:val="ListLabel 65"/>
    <w:qFormat/>
    <w:rPr>
      <w:rFonts w:cs="Times New Roman"/>
    </w:rPr>
  </w:style>
  <w:style w:type="character" w:styleId="ListLabel66">
    <w:name w:val="ListLabel 66"/>
    <w:qFormat/>
    <w:rPr>
      <w:rFonts w:cs="Times New Roman"/>
    </w:rPr>
  </w:style>
  <w:style w:type="character" w:styleId="ListLabel67">
    <w:name w:val="ListLabel 67"/>
    <w:qFormat/>
    <w:rPr>
      <w:rFonts w:cs="Times New Roman"/>
    </w:rPr>
  </w:style>
  <w:style w:type="character" w:styleId="ListLabel68">
    <w:name w:val="ListLabel 68"/>
    <w:qFormat/>
    <w:rPr>
      <w:rFonts w:cs="Times New Roman"/>
    </w:rPr>
  </w:style>
  <w:style w:type="character" w:styleId="ListLabel69">
    <w:name w:val="ListLabel 69"/>
    <w:qFormat/>
    <w:rPr>
      <w:rFonts w:cs="Times New Roman"/>
    </w:rPr>
  </w:style>
  <w:style w:type="character" w:styleId="ListLabel70">
    <w:name w:val="ListLabel 70"/>
    <w:qFormat/>
    <w:rPr>
      <w:rFonts w:cs="Times New Roman"/>
    </w:rPr>
  </w:style>
  <w:style w:type="character" w:styleId="ListLabel71">
    <w:name w:val="ListLabel 71"/>
    <w:qFormat/>
    <w:rPr>
      <w:rFonts w:cs="Times New Roman"/>
    </w:rPr>
  </w:style>
  <w:style w:type="character" w:styleId="ListLabel72">
    <w:name w:val="ListLabel 72"/>
    <w:qFormat/>
    <w:rPr>
      <w:rFonts w:cs="Times New Roman"/>
    </w:rPr>
  </w:style>
  <w:style w:type="character" w:styleId="ListLabel73">
    <w:name w:val="ListLabel 73"/>
    <w:qFormat/>
    <w:rPr>
      <w:rFonts w:cs="Times New Roman"/>
    </w:rPr>
  </w:style>
  <w:style w:type="character" w:styleId="ListLabel74">
    <w:name w:val="ListLabel 74"/>
    <w:qFormat/>
    <w:rPr>
      <w:rFonts w:cs="Times New Roman"/>
    </w:rPr>
  </w:style>
  <w:style w:type="character" w:styleId="ListLabel75">
    <w:name w:val="ListLabel 75"/>
    <w:qFormat/>
    <w:rPr>
      <w:rFonts w:cs="Times New Roman"/>
    </w:rPr>
  </w:style>
  <w:style w:type="character" w:styleId="ListLabel76">
    <w:name w:val="ListLabel 76"/>
    <w:qFormat/>
    <w:rPr>
      <w:rFonts w:cs="Times New Roman"/>
    </w:rPr>
  </w:style>
  <w:style w:type="character" w:styleId="ListLabel77">
    <w:name w:val="ListLabel 77"/>
    <w:qFormat/>
    <w:rPr>
      <w:rFonts w:cs="Times New Roman"/>
    </w:rPr>
  </w:style>
  <w:style w:type="character" w:styleId="ListLabel78">
    <w:name w:val="ListLabel 78"/>
    <w:qFormat/>
    <w:rPr>
      <w:rFonts w:cs="Times New Roman"/>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cs="Times New Roman"/>
    </w:rPr>
  </w:style>
  <w:style w:type="character" w:styleId="ListLabel82">
    <w:name w:val="ListLabel 82"/>
    <w:qFormat/>
    <w:rPr>
      <w:rFonts w:cs="Times New Roman"/>
    </w:rPr>
  </w:style>
  <w:style w:type="character" w:styleId="ListLabel83">
    <w:name w:val="ListLabel 83"/>
    <w:qFormat/>
    <w:rPr>
      <w:rFonts w:cs="Times New Roman"/>
    </w:rPr>
  </w:style>
  <w:style w:type="character" w:styleId="ListLabel84">
    <w:name w:val="ListLabel 84"/>
    <w:qFormat/>
    <w:rPr>
      <w:rFonts w:cs="Times New Roman"/>
    </w:rPr>
  </w:style>
  <w:style w:type="character" w:styleId="ListLabel85">
    <w:name w:val="ListLabel 85"/>
    <w:qFormat/>
    <w:rPr>
      <w:rFonts w:cs="Times New Roman"/>
    </w:rPr>
  </w:style>
  <w:style w:type="character" w:styleId="ListLabel86">
    <w:name w:val="ListLabel 86"/>
    <w:qFormat/>
    <w:rPr>
      <w:rFonts w:cs="Times New Roman"/>
    </w:rPr>
  </w:style>
  <w:style w:type="character" w:styleId="ListLabel87">
    <w:name w:val="ListLabel 87"/>
    <w:qFormat/>
    <w:rPr>
      <w:rFonts w:cs="Times New Roman"/>
    </w:rPr>
  </w:style>
  <w:style w:type="character" w:styleId="ListLabel88">
    <w:name w:val="ListLabel 88"/>
    <w:qFormat/>
    <w:rPr>
      <w:rFonts w:cs="Times New Roman"/>
    </w:rPr>
  </w:style>
  <w:style w:type="character" w:styleId="ListLabel89">
    <w:name w:val="ListLabel 89"/>
    <w:qFormat/>
    <w:rPr>
      <w:rFonts w:cs="Times New Roman"/>
    </w:rPr>
  </w:style>
  <w:style w:type="character" w:styleId="ListLabel90">
    <w:name w:val="ListLabel 90"/>
    <w:qFormat/>
    <w:rPr>
      <w:rFonts w:cs="Times New Roman"/>
    </w:rPr>
  </w:style>
  <w:style w:type="character" w:styleId="ListLabel91">
    <w:name w:val="ListLabel 91"/>
    <w:qFormat/>
    <w:rPr>
      <w:rFonts w:cs="Times New Roman"/>
    </w:rPr>
  </w:style>
  <w:style w:type="character" w:styleId="ListLabel92">
    <w:name w:val="ListLabel 92"/>
    <w:qFormat/>
    <w:rPr>
      <w:rFonts w:cs="Times New Roman"/>
    </w:rPr>
  </w:style>
  <w:style w:type="character" w:styleId="ListLabel93">
    <w:name w:val="ListLabel 93"/>
    <w:qFormat/>
    <w:rPr>
      <w:rFonts w:cs="Times New Roman"/>
    </w:rPr>
  </w:style>
  <w:style w:type="character" w:styleId="ListLabel94">
    <w:name w:val="ListLabel 94"/>
    <w:qFormat/>
    <w:rPr>
      <w:rFonts w:cs="Times New Roman"/>
    </w:rPr>
  </w:style>
  <w:style w:type="character" w:styleId="ListLabel95">
    <w:name w:val="ListLabel 95"/>
    <w:qFormat/>
    <w:rPr>
      <w:rFonts w:cs="Times New Roman"/>
    </w:rPr>
  </w:style>
  <w:style w:type="character" w:styleId="ListLabel96">
    <w:name w:val="ListLabel 96"/>
    <w:qFormat/>
    <w:rPr>
      <w:rFonts w:cs="Times New Roman"/>
    </w:rPr>
  </w:style>
  <w:style w:type="character" w:styleId="ListLabel97">
    <w:name w:val="ListLabel 97"/>
    <w:qFormat/>
    <w:rPr>
      <w:rFonts w:cs="Times New Roman"/>
    </w:rPr>
  </w:style>
  <w:style w:type="character" w:styleId="ListLabel98">
    <w:name w:val="ListLabel 98"/>
    <w:qFormat/>
    <w:rPr>
      <w:rFonts w:cs="Times New Roman"/>
    </w:rPr>
  </w:style>
  <w:style w:type="character" w:styleId="ListLabel99">
    <w:name w:val="ListLabel 99"/>
    <w:qFormat/>
    <w:rPr>
      <w:rFonts w:cs="Times New Roman"/>
    </w:rPr>
  </w:style>
  <w:style w:type="character" w:styleId="ListLabel100">
    <w:name w:val="ListLabel 100"/>
    <w:qFormat/>
    <w:rPr>
      <w:rFonts w:cs="Times New Roman"/>
    </w:rPr>
  </w:style>
  <w:style w:type="character" w:styleId="ListLabel101">
    <w:name w:val="ListLabel 101"/>
    <w:qFormat/>
    <w:rPr>
      <w:rFonts w:cs="Times New Roman"/>
    </w:rPr>
  </w:style>
  <w:style w:type="character" w:styleId="ListLabel102">
    <w:name w:val="ListLabel 102"/>
    <w:qFormat/>
    <w:rPr>
      <w:rFonts w:cs="Times New Roman"/>
    </w:rPr>
  </w:style>
  <w:style w:type="character" w:styleId="ListLabel103">
    <w:name w:val="ListLabel 103"/>
    <w:qFormat/>
    <w:rPr>
      <w:rFonts w:cs="Times New Roman"/>
    </w:rPr>
  </w:style>
  <w:style w:type="character" w:styleId="ListLabel104">
    <w:name w:val="ListLabel 104"/>
    <w:qFormat/>
    <w:rPr>
      <w:rFonts w:cs="Times New Roman"/>
    </w:rPr>
  </w:style>
  <w:style w:type="character" w:styleId="ListLabel105">
    <w:name w:val="ListLabel 105"/>
    <w:qFormat/>
    <w:rPr>
      <w:rFonts w:cs="Times New Roman"/>
    </w:rPr>
  </w:style>
  <w:style w:type="character" w:styleId="ListLabel106">
    <w:name w:val="ListLabel 106"/>
    <w:qFormat/>
    <w:rPr>
      <w:rFonts w:cs="Times New Roman"/>
    </w:rPr>
  </w:style>
  <w:style w:type="character" w:styleId="ListLabel107">
    <w:name w:val="ListLabel 107"/>
    <w:qFormat/>
    <w:rPr>
      <w:rFonts w:cs="Times New Roman"/>
    </w:rPr>
  </w:style>
  <w:style w:type="character" w:styleId="ListLabel108">
    <w:name w:val="ListLabel 108"/>
    <w:qFormat/>
    <w:rPr>
      <w:rFonts w:cs="Times New Roman"/>
    </w:rPr>
  </w:style>
  <w:style w:type="character" w:styleId="ListLabel109">
    <w:name w:val="ListLabel 109"/>
    <w:qFormat/>
    <w:rPr>
      <w:rFonts w:cs="Times New Roman"/>
    </w:rPr>
  </w:style>
  <w:style w:type="character" w:styleId="ListLabel110">
    <w:name w:val="ListLabel 110"/>
    <w:qFormat/>
    <w:rPr>
      <w:rFonts w:cs="Times New Roman"/>
    </w:rPr>
  </w:style>
  <w:style w:type="character" w:styleId="ListLabel111">
    <w:name w:val="ListLabel 111"/>
    <w:qFormat/>
    <w:rPr>
      <w:rFonts w:cs="Times New Roman"/>
    </w:rPr>
  </w:style>
  <w:style w:type="character" w:styleId="ListLabel112">
    <w:name w:val="ListLabel 112"/>
    <w:qFormat/>
    <w:rPr>
      <w:rFonts w:cs="Times New Roman"/>
    </w:rPr>
  </w:style>
  <w:style w:type="character" w:styleId="ListLabel113">
    <w:name w:val="ListLabel 113"/>
    <w:qFormat/>
    <w:rPr>
      <w:sz w:val="20"/>
    </w:rPr>
  </w:style>
  <w:style w:type="character" w:styleId="ListLabel114">
    <w:name w:val="ListLabel 114"/>
    <w:qFormat/>
    <w:rPr>
      <w:sz w:val="20"/>
    </w:rPr>
  </w:style>
  <w:style w:type="character" w:styleId="ListLabel115">
    <w:name w:val="ListLabel 115"/>
    <w:qFormat/>
    <w:rPr>
      <w:sz w:val="20"/>
    </w:rPr>
  </w:style>
  <w:style w:type="character" w:styleId="ListLabel116">
    <w:name w:val="ListLabel 116"/>
    <w:qFormat/>
    <w:rPr>
      <w:sz w:val="20"/>
    </w:rPr>
  </w:style>
  <w:style w:type="character" w:styleId="ListLabel117">
    <w:name w:val="ListLabel 117"/>
    <w:qFormat/>
    <w:rPr>
      <w:sz w:val="20"/>
    </w:rPr>
  </w:style>
  <w:style w:type="character" w:styleId="ListLabel118">
    <w:name w:val="ListLabel 118"/>
    <w:qFormat/>
    <w:rPr>
      <w:sz w:val="20"/>
    </w:rPr>
  </w:style>
  <w:style w:type="character" w:styleId="ListLabel119">
    <w:name w:val="ListLabel 119"/>
    <w:qFormat/>
    <w:rPr>
      <w:sz w:val="20"/>
    </w:rPr>
  </w:style>
  <w:style w:type="character" w:styleId="ListLabel120">
    <w:name w:val="ListLabel 120"/>
    <w:qFormat/>
    <w:rPr>
      <w:sz w:val="20"/>
    </w:rPr>
  </w:style>
  <w:style w:type="character" w:styleId="ListLabel121">
    <w:name w:val="ListLabel 121"/>
    <w:qFormat/>
    <w:rPr>
      <w:sz w:val="20"/>
    </w:rPr>
  </w:style>
  <w:style w:type="character" w:styleId="ListLabel122">
    <w:name w:val="ListLabel 122"/>
    <w:qFormat/>
    <w:rPr>
      <w:rFonts w:cs="Times New Roman"/>
    </w:rPr>
  </w:style>
  <w:style w:type="character" w:styleId="ListLabel123">
    <w:name w:val="ListLabel 123"/>
    <w:qFormat/>
    <w:rPr>
      <w:rFonts w:cs="Times New Roman"/>
    </w:rPr>
  </w:style>
  <w:style w:type="character" w:styleId="ListLabel124">
    <w:name w:val="ListLabel 124"/>
    <w:qFormat/>
    <w:rPr>
      <w:rFonts w:cs="Times New Roman"/>
    </w:rPr>
  </w:style>
  <w:style w:type="character" w:styleId="ListLabel125">
    <w:name w:val="ListLabel 125"/>
    <w:qFormat/>
    <w:rPr>
      <w:rFonts w:cs="Times New Roman"/>
    </w:rPr>
  </w:style>
  <w:style w:type="character" w:styleId="ListLabel126">
    <w:name w:val="ListLabel 126"/>
    <w:qFormat/>
    <w:rPr>
      <w:rFonts w:cs="Times New Roman"/>
    </w:rPr>
  </w:style>
  <w:style w:type="character" w:styleId="ListLabel127">
    <w:name w:val="ListLabel 127"/>
    <w:qFormat/>
    <w:rPr>
      <w:rFonts w:cs="Times New Roman"/>
    </w:rPr>
  </w:style>
  <w:style w:type="character" w:styleId="ListLabel128">
    <w:name w:val="ListLabel 128"/>
    <w:qFormat/>
    <w:rPr>
      <w:rFonts w:cs="Times New Roman"/>
    </w:rPr>
  </w:style>
  <w:style w:type="character" w:styleId="ListLabel129">
    <w:name w:val="ListLabel 129"/>
    <w:qFormat/>
    <w:rPr>
      <w:rFonts w:cs="Times New Roman"/>
    </w:rPr>
  </w:style>
  <w:style w:type="character" w:styleId="ListLabel130">
    <w:name w:val="ListLabel 130"/>
    <w:qFormat/>
    <w:rPr>
      <w:rFonts w:cs="Times New Roman"/>
    </w:rPr>
  </w:style>
  <w:style w:type="character" w:styleId="ListLabel131">
    <w:name w:val="ListLabel 131"/>
    <w:qFormat/>
    <w:rPr>
      <w:rFonts w:cs="Times New Roman"/>
    </w:rPr>
  </w:style>
  <w:style w:type="character" w:styleId="ListLabel132">
    <w:name w:val="ListLabel 132"/>
    <w:qFormat/>
    <w:rPr>
      <w:rFonts w:cs="Times New Roman"/>
    </w:rPr>
  </w:style>
  <w:style w:type="character" w:styleId="ListLabel133">
    <w:name w:val="ListLabel 133"/>
    <w:qFormat/>
    <w:rPr>
      <w:rFonts w:cs="Times New Roman"/>
    </w:rPr>
  </w:style>
  <w:style w:type="character" w:styleId="ListLabel134">
    <w:name w:val="ListLabel 134"/>
    <w:qFormat/>
    <w:rPr>
      <w:rFonts w:cs="Times New Roman"/>
    </w:rPr>
  </w:style>
  <w:style w:type="character" w:styleId="ListLabel135">
    <w:name w:val="ListLabel 135"/>
    <w:qFormat/>
    <w:rPr>
      <w:rFonts w:cs="Times New Roman"/>
    </w:rPr>
  </w:style>
  <w:style w:type="character" w:styleId="ListLabel136">
    <w:name w:val="ListLabel 136"/>
    <w:qFormat/>
    <w:rPr>
      <w:rFonts w:cs="Times New Roman"/>
    </w:rPr>
  </w:style>
  <w:style w:type="character" w:styleId="ListLabel137">
    <w:name w:val="ListLabel 137"/>
    <w:qFormat/>
    <w:rPr>
      <w:rFonts w:cs="Times New Roman"/>
    </w:rPr>
  </w:style>
  <w:style w:type="character" w:styleId="ListLabel138">
    <w:name w:val="ListLabel 138"/>
    <w:qFormat/>
    <w:rPr>
      <w:rFonts w:cs="Times New Roman"/>
    </w:rPr>
  </w:style>
  <w:style w:type="character" w:styleId="ListLabel139">
    <w:name w:val="ListLabel 139"/>
    <w:qFormat/>
    <w:rPr>
      <w:rFonts w:cs="Times New Roman"/>
    </w:rPr>
  </w:style>
  <w:style w:type="character" w:styleId="ListLabel140">
    <w:name w:val="ListLabel 140"/>
    <w:qFormat/>
    <w:rPr>
      <w:rFonts w:cs="Times New Roman"/>
      <w:b/>
      <w:i w:val="false"/>
    </w:rPr>
  </w:style>
  <w:style w:type="character" w:styleId="ListLabel141">
    <w:name w:val="ListLabel 141"/>
    <w:qFormat/>
    <w:rPr>
      <w:rFonts w:cs="Times New Roman"/>
    </w:rPr>
  </w:style>
  <w:style w:type="character" w:styleId="ListLabel142">
    <w:name w:val="ListLabel 142"/>
    <w:qFormat/>
    <w:rPr>
      <w:rFonts w:cs="Times New Roman"/>
    </w:rPr>
  </w:style>
  <w:style w:type="character" w:styleId="ListLabel143">
    <w:name w:val="ListLabel 143"/>
    <w:qFormat/>
    <w:rPr>
      <w:rFonts w:cs="Times New Roman"/>
    </w:rPr>
  </w:style>
  <w:style w:type="character" w:styleId="ListLabel144">
    <w:name w:val="ListLabel 144"/>
    <w:qFormat/>
    <w:rPr>
      <w:rFonts w:cs="Times New Roman"/>
    </w:rPr>
  </w:style>
  <w:style w:type="character" w:styleId="ListLabel145">
    <w:name w:val="ListLabel 145"/>
    <w:qFormat/>
    <w:rPr>
      <w:rFonts w:cs="Times New Roman"/>
    </w:rPr>
  </w:style>
  <w:style w:type="character" w:styleId="ListLabel146">
    <w:name w:val="ListLabel 146"/>
    <w:qFormat/>
    <w:rPr>
      <w:rFonts w:cs="Times New Roman"/>
    </w:rPr>
  </w:style>
  <w:style w:type="character" w:styleId="ListLabel147">
    <w:name w:val="ListLabel 147"/>
    <w:qFormat/>
    <w:rPr>
      <w:rFonts w:cs="Times New Roman"/>
    </w:rPr>
  </w:style>
  <w:style w:type="character" w:styleId="ListLabel148">
    <w:name w:val="ListLabel 148"/>
    <w:qFormat/>
    <w:rPr>
      <w:rFonts w:cs="Times New Roman"/>
    </w:rPr>
  </w:style>
  <w:style w:type="character" w:styleId="ListLabel149">
    <w:name w:val="ListLabel 149"/>
    <w:qFormat/>
    <w:rPr>
      <w:rFonts w:cs="Times New Roman"/>
    </w:rPr>
  </w:style>
  <w:style w:type="character" w:styleId="ListLabel150">
    <w:name w:val="ListLabel 150"/>
    <w:qFormat/>
    <w:rPr>
      <w:rFonts w:cs="Times New Roman"/>
    </w:rPr>
  </w:style>
  <w:style w:type="character" w:styleId="ListLabel151">
    <w:name w:val="ListLabel 151"/>
    <w:qFormat/>
    <w:rPr>
      <w:rFonts w:cs="Times New Roman"/>
    </w:rPr>
  </w:style>
  <w:style w:type="character" w:styleId="ListLabel152">
    <w:name w:val="ListLabel 152"/>
    <w:qFormat/>
    <w:rPr>
      <w:rFonts w:cs="Times New Roman"/>
    </w:rPr>
  </w:style>
  <w:style w:type="character" w:styleId="ListLabel153">
    <w:name w:val="ListLabel 153"/>
    <w:qFormat/>
    <w:rPr>
      <w:rFonts w:cs="Times New Roman"/>
    </w:rPr>
  </w:style>
  <w:style w:type="character" w:styleId="ListLabel154">
    <w:name w:val="ListLabel 154"/>
    <w:qFormat/>
    <w:rPr>
      <w:rFonts w:cs="Times New Roman"/>
    </w:rPr>
  </w:style>
  <w:style w:type="character" w:styleId="ListLabel155">
    <w:name w:val="ListLabel 155"/>
    <w:qFormat/>
    <w:rPr>
      <w:rFonts w:cs="Times New Roman"/>
    </w:rPr>
  </w:style>
  <w:style w:type="character" w:styleId="ListLabel156">
    <w:name w:val="ListLabel 156"/>
    <w:qFormat/>
    <w:rPr>
      <w:rFonts w:cs="Times New Roman"/>
    </w:rPr>
  </w:style>
  <w:style w:type="character" w:styleId="ListLabel157">
    <w:name w:val="ListLabel 157"/>
    <w:qFormat/>
    <w:rPr>
      <w:rFonts w:cs="Times New Roman"/>
    </w:rPr>
  </w:style>
  <w:style w:type="character" w:styleId="ListLabel158">
    <w:name w:val="ListLabel 158"/>
    <w:qFormat/>
    <w:rPr>
      <w:rFonts w:cs="Times New Roman"/>
    </w:rPr>
  </w:style>
  <w:style w:type="character" w:styleId="ListLabel159">
    <w:name w:val="ListLabel 159"/>
    <w:qFormat/>
    <w:rPr>
      <w:rFonts w:cs="Times New Roman"/>
    </w:rPr>
  </w:style>
  <w:style w:type="character" w:styleId="ListLabel160">
    <w:name w:val="ListLabel 160"/>
    <w:qFormat/>
    <w:rPr>
      <w:rFonts w:cs="Times New Roman"/>
    </w:rPr>
  </w:style>
  <w:style w:type="character" w:styleId="ListLabel161">
    <w:name w:val="ListLabel 161"/>
    <w:qFormat/>
    <w:rPr>
      <w:rFonts w:cs="Times New Roman"/>
    </w:rPr>
  </w:style>
  <w:style w:type="character" w:styleId="ListLabel162">
    <w:name w:val="ListLabel 162"/>
    <w:qFormat/>
    <w:rPr>
      <w:rFonts w:cs="Times New Roman"/>
    </w:rPr>
  </w:style>
  <w:style w:type="character" w:styleId="ListLabel163">
    <w:name w:val="ListLabel 163"/>
    <w:qFormat/>
    <w:rPr>
      <w:rFonts w:cs="Times New Roman"/>
    </w:rPr>
  </w:style>
  <w:style w:type="character" w:styleId="ListLabel164">
    <w:name w:val="ListLabel 164"/>
    <w:qFormat/>
    <w:rPr>
      <w:rFonts w:cs="Times New Roman"/>
    </w:rPr>
  </w:style>
  <w:style w:type="character" w:styleId="ListLabel165">
    <w:name w:val="ListLabel 165"/>
    <w:qFormat/>
    <w:rPr>
      <w:rFonts w:cs="Times New Roman"/>
    </w:rPr>
  </w:style>
  <w:style w:type="character" w:styleId="ListLabel166">
    <w:name w:val="ListLabel 166"/>
    <w:qFormat/>
    <w:rPr>
      <w:rFonts w:cs="Times New Roman"/>
    </w:rPr>
  </w:style>
  <w:style w:type="character" w:styleId="ListLabel167">
    <w:name w:val="ListLabel 167"/>
    <w:qFormat/>
    <w:rPr>
      <w:rFonts w:cs="Times New Roman"/>
      <w:b/>
      <w:i w:val="false"/>
    </w:rPr>
  </w:style>
  <w:style w:type="character" w:styleId="ListLabel168">
    <w:name w:val="ListLabel 168"/>
    <w:qFormat/>
    <w:rPr>
      <w:rFonts w:cs="Times New Roman"/>
      <w:b/>
      <w:i w:val="false"/>
    </w:rPr>
  </w:style>
  <w:style w:type="character" w:styleId="ListLabel169">
    <w:name w:val="ListLabel 169"/>
    <w:qFormat/>
    <w:rPr>
      <w:rFonts w:cs="Times New Roman"/>
    </w:rPr>
  </w:style>
  <w:style w:type="character" w:styleId="ListLabel170">
    <w:name w:val="ListLabel 170"/>
    <w:qFormat/>
    <w:rPr>
      <w:rFonts w:cs="Times New Roman"/>
    </w:rPr>
  </w:style>
  <w:style w:type="character" w:styleId="ListLabel171">
    <w:name w:val="ListLabel 171"/>
    <w:qFormat/>
    <w:rPr>
      <w:rFonts w:cs="Times New Roman"/>
    </w:rPr>
  </w:style>
  <w:style w:type="character" w:styleId="ListLabel172">
    <w:name w:val="ListLabel 172"/>
    <w:qFormat/>
    <w:rPr>
      <w:rFonts w:cs="Times New Roman"/>
    </w:rPr>
  </w:style>
  <w:style w:type="character" w:styleId="ListLabel173">
    <w:name w:val="ListLabel 173"/>
    <w:qFormat/>
    <w:rPr>
      <w:rFonts w:cs="Times New Roman"/>
    </w:rPr>
  </w:style>
  <w:style w:type="character" w:styleId="ListLabel174">
    <w:name w:val="ListLabel 174"/>
    <w:qFormat/>
    <w:rPr>
      <w:rFonts w:cs="Times New Roman"/>
    </w:rPr>
  </w:style>
  <w:style w:type="character" w:styleId="ListLabel175">
    <w:name w:val="ListLabel 175"/>
    <w:qFormat/>
    <w:rPr>
      <w:rFonts w:cs="Times New Roman"/>
    </w:rPr>
  </w:style>
  <w:style w:type="character" w:styleId="ListLabel176">
    <w:name w:val="ListLabel 176"/>
    <w:qFormat/>
    <w:rPr>
      <w:rFonts w:cs="Times New Roman"/>
      <w:b/>
      <w:i w:val="false"/>
    </w:rPr>
  </w:style>
  <w:style w:type="character" w:styleId="ListLabel177">
    <w:name w:val="ListLabel 177"/>
    <w:qFormat/>
    <w:rPr>
      <w:rFonts w:cs="Times New Roman"/>
      <w:b/>
      <w:i w:val="false"/>
    </w:rPr>
  </w:style>
  <w:style w:type="character" w:styleId="ListLabel178">
    <w:name w:val="ListLabel 178"/>
    <w:qFormat/>
    <w:rPr>
      <w:rFonts w:cs="Times New Roman"/>
    </w:rPr>
  </w:style>
  <w:style w:type="character" w:styleId="ListLabel179">
    <w:name w:val="ListLabel 179"/>
    <w:qFormat/>
    <w:rPr>
      <w:rFonts w:cs="Times New Roman"/>
    </w:rPr>
  </w:style>
  <w:style w:type="character" w:styleId="ListLabel180">
    <w:name w:val="ListLabel 180"/>
    <w:qFormat/>
    <w:rPr>
      <w:rFonts w:cs="Times New Roman"/>
    </w:rPr>
  </w:style>
  <w:style w:type="character" w:styleId="ListLabel181">
    <w:name w:val="ListLabel 181"/>
    <w:qFormat/>
    <w:rPr>
      <w:rFonts w:cs="Times New Roman"/>
    </w:rPr>
  </w:style>
  <w:style w:type="character" w:styleId="ListLabel182">
    <w:name w:val="ListLabel 182"/>
    <w:qFormat/>
    <w:rPr>
      <w:rFonts w:cs="Times New Roman"/>
    </w:rPr>
  </w:style>
  <w:style w:type="character" w:styleId="ListLabel183">
    <w:name w:val="ListLabel 183"/>
    <w:qFormat/>
    <w:rPr>
      <w:rFonts w:cs="Times New Roman"/>
    </w:rPr>
  </w:style>
  <w:style w:type="character" w:styleId="ListLabel184">
    <w:name w:val="ListLabel 184"/>
    <w:qFormat/>
    <w:rPr>
      <w:rFonts w:cs="Times New Roman"/>
    </w:rPr>
  </w:style>
  <w:style w:type="character" w:styleId="ListLabel185">
    <w:name w:val="ListLabel 185"/>
    <w:qFormat/>
    <w:rPr>
      <w:rFonts w:cs="Times New Roman"/>
    </w:rPr>
  </w:style>
  <w:style w:type="character" w:styleId="ListLabel186">
    <w:name w:val="ListLabel 186"/>
    <w:qFormat/>
    <w:rPr>
      <w:rFonts w:cs="Times New Roman"/>
    </w:rPr>
  </w:style>
  <w:style w:type="character" w:styleId="ListLabel187">
    <w:name w:val="ListLabel 187"/>
    <w:qFormat/>
    <w:rPr>
      <w:rFonts w:cs="Times New Roman"/>
    </w:rPr>
  </w:style>
  <w:style w:type="character" w:styleId="ListLabel188">
    <w:name w:val="ListLabel 188"/>
    <w:qFormat/>
    <w:rPr>
      <w:rFonts w:cs="Times New Roman"/>
    </w:rPr>
  </w:style>
  <w:style w:type="character" w:styleId="ListLabel189">
    <w:name w:val="ListLabel 189"/>
    <w:qFormat/>
    <w:rPr>
      <w:rFonts w:cs="Times New Roman"/>
    </w:rPr>
  </w:style>
  <w:style w:type="character" w:styleId="ListLabel190">
    <w:name w:val="ListLabel 190"/>
    <w:qFormat/>
    <w:rPr>
      <w:rFonts w:cs="Times New Roman"/>
    </w:rPr>
  </w:style>
  <w:style w:type="character" w:styleId="ListLabel191">
    <w:name w:val="ListLabel 191"/>
    <w:qFormat/>
    <w:rPr>
      <w:rFonts w:cs="Times New Roman"/>
    </w:rPr>
  </w:style>
  <w:style w:type="character" w:styleId="ListLabel192">
    <w:name w:val="ListLabel 192"/>
    <w:qFormat/>
    <w:rPr>
      <w:rFonts w:cs="Times New Roman"/>
    </w:rPr>
  </w:style>
  <w:style w:type="character" w:styleId="ListLabel193">
    <w:name w:val="ListLabel 193"/>
    <w:qFormat/>
    <w:rPr>
      <w:rFonts w:cs="Times New Roman"/>
    </w:rPr>
  </w:style>
  <w:style w:type="character" w:styleId="ListLabel194">
    <w:name w:val="ListLabel 194"/>
    <w:qFormat/>
    <w:rPr>
      <w:rFonts w:cs="Times New Roman"/>
    </w:rPr>
  </w:style>
  <w:style w:type="character" w:styleId="ListLabel195">
    <w:name w:val="ListLabel 195"/>
    <w:qFormat/>
    <w:rPr>
      <w:rFonts w:cs="Times New Roman"/>
    </w:rPr>
  </w:style>
  <w:style w:type="character" w:styleId="ListLabel196">
    <w:name w:val="ListLabel 196"/>
    <w:qFormat/>
    <w:rPr>
      <w:rFonts w:cs="Times New Roman"/>
    </w:rPr>
  </w:style>
  <w:style w:type="character" w:styleId="ListLabel197">
    <w:name w:val="ListLabel 197"/>
    <w:qFormat/>
    <w:rPr>
      <w:rFonts w:cs="Times New Roman"/>
    </w:rPr>
  </w:style>
  <w:style w:type="character" w:styleId="ListLabel198">
    <w:name w:val="ListLabel 198"/>
    <w:qFormat/>
    <w:rPr>
      <w:rFonts w:cs="Times New Roman"/>
    </w:rPr>
  </w:style>
  <w:style w:type="character" w:styleId="ListLabel199">
    <w:name w:val="ListLabel 199"/>
    <w:qFormat/>
    <w:rPr>
      <w:rFonts w:cs="Times New Roman"/>
    </w:rPr>
  </w:style>
  <w:style w:type="character" w:styleId="ListLabel200">
    <w:name w:val="ListLabel 200"/>
    <w:qFormat/>
    <w:rPr>
      <w:rFonts w:cs="Times New Roman"/>
    </w:rPr>
  </w:style>
  <w:style w:type="character" w:styleId="ListLabel201">
    <w:name w:val="ListLabel 201"/>
    <w:qFormat/>
    <w:rPr>
      <w:rFonts w:cs="Times New Roman"/>
    </w:rPr>
  </w:style>
  <w:style w:type="character" w:styleId="ListLabel202">
    <w:name w:val="ListLabel 202"/>
    <w:qFormat/>
    <w:rPr>
      <w:rFonts w:cs="Courier New"/>
    </w:rPr>
  </w:style>
  <w:style w:type="character" w:styleId="ListLabel203">
    <w:name w:val="ListLabel 203"/>
    <w:qFormat/>
    <w:rPr>
      <w:rFonts w:cs="Courier New"/>
    </w:rPr>
  </w:style>
  <w:style w:type="character" w:styleId="ListLabel204">
    <w:name w:val="ListLabel 204"/>
    <w:qFormat/>
    <w:rPr>
      <w:rFonts w:cs="Courier New"/>
    </w:rPr>
  </w:style>
  <w:style w:type="character" w:styleId="ListLabel205">
    <w:name w:val="ListLabel 205"/>
    <w:qFormat/>
    <w:rPr>
      <w:rFonts w:cs="Times New Roman"/>
    </w:rPr>
  </w:style>
  <w:style w:type="character" w:styleId="ListLabel206">
    <w:name w:val="ListLabel 206"/>
    <w:qFormat/>
    <w:rPr>
      <w:rFonts w:cs="Times New Roman"/>
    </w:rPr>
  </w:style>
  <w:style w:type="character" w:styleId="ListLabel207">
    <w:name w:val="ListLabel 207"/>
    <w:qFormat/>
    <w:rPr>
      <w:rFonts w:cs="Times New Roman"/>
    </w:rPr>
  </w:style>
  <w:style w:type="character" w:styleId="ListLabel208">
    <w:name w:val="ListLabel 208"/>
    <w:qFormat/>
    <w:rPr>
      <w:rFonts w:cs="Times New Roman"/>
    </w:rPr>
  </w:style>
  <w:style w:type="character" w:styleId="ListLabel209">
    <w:name w:val="ListLabel 209"/>
    <w:qFormat/>
    <w:rPr>
      <w:rFonts w:cs="Times New Roman"/>
    </w:rPr>
  </w:style>
  <w:style w:type="character" w:styleId="ListLabel210">
    <w:name w:val="ListLabel 210"/>
    <w:qFormat/>
    <w:rPr>
      <w:rFonts w:cs="Times New Roman"/>
    </w:rPr>
  </w:style>
  <w:style w:type="character" w:styleId="ListLabel211">
    <w:name w:val="ListLabel 211"/>
    <w:qFormat/>
    <w:rPr>
      <w:rFonts w:cs="Times New Roman"/>
    </w:rPr>
  </w:style>
  <w:style w:type="character" w:styleId="ListLabel212">
    <w:name w:val="ListLabel 212"/>
    <w:qFormat/>
    <w:rPr>
      <w:rFonts w:cs="Times New Roman"/>
    </w:rPr>
  </w:style>
  <w:style w:type="character" w:styleId="ListLabel213">
    <w:name w:val="ListLabel 213"/>
    <w:qFormat/>
    <w:rPr>
      <w:rFonts w:cs="Times New Roman"/>
    </w:rPr>
  </w:style>
  <w:style w:type="character" w:styleId="ListLabel214">
    <w:name w:val="ListLabel 214"/>
    <w:qFormat/>
    <w:rPr>
      <w:sz w:val="28"/>
    </w:rPr>
  </w:style>
  <w:style w:type="character" w:styleId="ListLabel215">
    <w:name w:val="ListLabel 215"/>
    <w:qFormat/>
    <w:rPr>
      <w:sz w:val="20"/>
    </w:rPr>
  </w:style>
  <w:style w:type="character" w:styleId="ListLabel216">
    <w:name w:val="ListLabel 216"/>
    <w:qFormat/>
    <w:rPr>
      <w:sz w:val="20"/>
    </w:rPr>
  </w:style>
  <w:style w:type="character" w:styleId="ListLabel217">
    <w:name w:val="ListLabel 217"/>
    <w:qFormat/>
    <w:rPr>
      <w:sz w:val="20"/>
    </w:rPr>
  </w:style>
  <w:style w:type="character" w:styleId="ListLabel218">
    <w:name w:val="ListLabel 218"/>
    <w:qFormat/>
    <w:rPr>
      <w:sz w:val="20"/>
    </w:rPr>
  </w:style>
  <w:style w:type="character" w:styleId="ListLabel219">
    <w:name w:val="ListLabel 219"/>
    <w:qFormat/>
    <w:rPr>
      <w:sz w:val="20"/>
    </w:rPr>
  </w:style>
  <w:style w:type="character" w:styleId="ListLabel220">
    <w:name w:val="ListLabel 220"/>
    <w:qFormat/>
    <w:rPr>
      <w:sz w:val="20"/>
    </w:rPr>
  </w:style>
  <w:style w:type="character" w:styleId="ListLabel221">
    <w:name w:val="ListLabel 221"/>
    <w:qFormat/>
    <w:rPr>
      <w:sz w:val="20"/>
    </w:rPr>
  </w:style>
  <w:style w:type="character" w:styleId="ListLabel222">
    <w:name w:val="ListLabel 222"/>
    <w:qFormat/>
    <w:rPr>
      <w:sz w:val="20"/>
    </w:rPr>
  </w:style>
  <w:style w:type="character" w:styleId="ListLabel223">
    <w:name w:val="ListLabel 223"/>
    <w:qFormat/>
    <w:rPr>
      <w:rFonts w:cs="Courier New"/>
    </w:rPr>
  </w:style>
  <w:style w:type="character" w:styleId="ListLabel224">
    <w:name w:val="ListLabel 224"/>
    <w:qFormat/>
    <w:rPr>
      <w:rFonts w:cs="Courier New"/>
    </w:rPr>
  </w:style>
  <w:style w:type="character" w:styleId="ListLabel225">
    <w:name w:val="ListLabel 225"/>
    <w:qFormat/>
    <w:rPr>
      <w:rFonts w:cs="Courier New"/>
    </w:rPr>
  </w:style>
  <w:style w:type="character" w:styleId="ListLabel226">
    <w:name w:val="ListLabel 226"/>
    <w:qFormat/>
    <w:rPr>
      <w:rFonts w:cs="Times New Roman"/>
    </w:rPr>
  </w:style>
  <w:style w:type="character" w:styleId="ListLabel227">
    <w:name w:val="ListLabel 227"/>
    <w:qFormat/>
    <w:rPr>
      <w:rFonts w:cs="Times New Roman"/>
      <w:b/>
      <w:i w:val="false"/>
    </w:rPr>
  </w:style>
  <w:style w:type="character" w:styleId="ListLabel228">
    <w:name w:val="ListLabel 228"/>
    <w:qFormat/>
    <w:rPr>
      <w:rFonts w:cs="Times New Roman"/>
      <w:b/>
      <w:i w:val="false"/>
    </w:rPr>
  </w:style>
  <w:style w:type="character" w:styleId="ListLabel229">
    <w:name w:val="ListLabel 229"/>
    <w:qFormat/>
    <w:rPr>
      <w:rFonts w:cs="Times New Roman"/>
    </w:rPr>
  </w:style>
  <w:style w:type="character" w:styleId="ListLabel230">
    <w:name w:val="ListLabel 230"/>
    <w:qFormat/>
    <w:rPr>
      <w:rFonts w:cs="Times New Roman"/>
    </w:rPr>
  </w:style>
  <w:style w:type="character" w:styleId="ListLabel231">
    <w:name w:val="ListLabel 231"/>
    <w:qFormat/>
    <w:rPr>
      <w:rFonts w:cs="Times New Roman"/>
    </w:rPr>
  </w:style>
  <w:style w:type="character" w:styleId="ListLabel232">
    <w:name w:val="ListLabel 232"/>
    <w:qFormat/>
    <w:rPr>
      <w:rFonts w:cs="Times New Roman"/>
    </w:rPr>
  </w:style>
  <w:style w:type="character" w:styleId="ListLabel233">
    <w:name w:val="ListLabel 233"/>
    <w:qFormat/>
    <w:rPr>
      <w:rFonts w:cs="Times New Roman"/>
    </w:rPr>
  </w:style>
  <w:style w:type="character" w:styleId="ListLabel234">
    <w:name w:val="ListLabel 234"/>
    <w:qFormat/>
    <w:rPr>
      <w:rFonts w:cs="Times New Roman"/>
    </w:rPr>
  </w:style>
  <w:style w:type="character" w:styleId="ListLabel235">
    <w:name w:val="ListLabel 235"/>
    <w:qFormat/>
    <w:rPr>
      <w:rFonts w:eastAsia="Times New Roman" w:cs="Times New Roman"/>
      <w:b w:val="false"/>
      <w:bCs w:val="false"/>
      <w:i w:val="false"/>
      <w:iCs w:val="false"/>
      <w:caps w:val="false"/>
      <w:smallCaps w:val="false"/>
      <w:strike w:val="false"/>
      <w:dstrike w:val="false"/>
      <w:color w:val="000000"/>
      <w:spacing w:val="0"/>
      <w:w w:val="100"/>
      <w:sz w:val="22"/>
      <w:szCs w:val="22"/>
      <w:u w:val="none"/>
      <w:lang w:val="ru-RU" w:eastAsia="ru-RU" w:bidi="ru-RU"/>
    </w:rPr>
  </w:style>
  <w:style w:type="character" w:styleId="ListLabel236">
    <w:name w:val="ListLabel 236"/>
    <w:qFormat/>
    <w:rPr>
      <w:rFonts w:eastAsia="Times New Roman" w:cs="Times New Roman"/>
      <w:b w:val="false"/>
      <w:bCs w:val="false"/>
      <w:i w:val="false"/>
      <w:iCs w:val="false"/>
      <w:caps w:val="false"/>
      <w:smallCaps w:val="false"/>
      <w:strike w:val="false"/>
      <w:dstrike w:val="false"/>
      <w:color w:val="000000"/>
      <w:spacing w:val="0"/>
      <w:w w:val="100"/>
      <w:sz w:val="22"/>
      <w:szCs w:val="22"/>
      <w:u w:val="none"/>
      <w:lang w:val="ru-RU" w:eastAsia="ru-RU" w:bidi="ru-RU"/>
    </w:rPr>
  </w:style>
  <w:style w:type="character" w:styleId="ListLabel237">
    <w:name w:val="ListLabel 237"/>
    <w:qFormat/>
    <w:rPr>
      <w:rFonts w:cs="Times New Roman"/>
    </w:rPr>
  </w:style>
  <w:style w:type="character" w:styleId="ListLabel238">
    <w:name w:val="ListLabel 238"/>
    <w:qFormat/>
    <w:rPr>
      <w:rFonts w:cs="Times New Roman"/>
    </w:rPr>
  </w:style>
  <w:style w:type="character" w:styleId="ListLabel239">
    <w:name w:val="ListLabel 239"/>
    <w:qFormat/>
    <w:rPr>
      <w:rFonts w:cs="Times New Roman"/>
    </w:rPr>
  </w:style>
  <w:style w:type="character" w:styleId="ListLabel240">
    <w:name w:val="ListLabel 240"/>
    <w:qFormat/>
    <w:rPr>
      <w:rFonts w:cs="Times New Roman"/>
    </w:rPr>
  </w:style>
  <w:style w:type="character" w:styleId="ListLabel241">
    <w:name w:val="ListLabel 241"/>
    <w:qFormat/>
    <w:rPr>
      <w:rFonts w:cs="Times New Roman"/>
    </w:rPr>
  </w:style>
  <w:style w:type="character" w:styleId="ListLabel242">
    <w:name w:val="ListLabel 242"/>
    <w:qFormat/>
    <w:rPr>
      <w:rFonts w:cs="Times New Roman"/>
    </w:rPr>
  </w:style>
  <w:style w:type="character" w:styleId="ListLabel243">
    <w:name w:val="ListLabel 243"/>
    <w:qFormat/>
    <w:rPr>
      <w:rFonts w:cs="Times New Roman"/>
    </w:rPr>
  </w:style>
  <w:style w:type="character" w:styleId="ListLabel244">
    <w:name w:val="ListLabel 244"/>
    <w:qFormat/>
    <w:rPr>
      <w:rFonts w:cs="Times New Roman"/>
    </w:rPr>
  </w:style>
  <w:style w:type="character" w:styleId="ListLabel245">
    <w:name w:val="ListLabel 245"/>
    <w:qFormat/>
    <w:rPr>
      <w:rFonts w:cs="Times New Roman"/>
    </w:rPr>
  </w:style>
  <w:style w:type="character" w:styleId="ListLabel246">
    <w:name w:val="ListLabel 246"/>
    <w:qFormat/>
    <w:rPr>
      <w:rFonts w:cs="Times New Roman"/>
    </w:rPr>
  </w:style>
  <w:style w:type="character" w:styleId="ListLabel247">
    <w:name w:val="ListLabel 247"/>
    <w:qFormat/>
    <w:rPr>
      <w:rFonts w:cs="Times New Roman"/>
    </w:rPr>
  </w:style>
  <w:style w:type="character" w:styleId="ListLabel248">
    <w:name w:val="ListLabel 248"/>
    <w:qFormat/>
    <w:rPr>
      <w:rFonts w:cs="Times New Roman"/>
    </w:rPr>
  </w:style>
  <w:style w:type="character" w:styleId="ListLabel249">
    <w:name w:val="ListLabel 249"/>
    <w:qFormat/>
    <w:rPr>
      <w:rFonts w:cs="Times New Roman"/>
    </w:rPr>
  </w:style>
  <w:style w:type="character" w:styleId="ListLabel250">
    <w:name w:val="ListLabel 250"/>
    <w:qFormat/>
    <w:rPr>
      <w:rFonts w:cs="Times New Roman"/>
    </w:rPr>
  </w:style>
  <w:style w:type="character" w:styleId="ListLabel251">
    <w:name w:val="ListLabel 251"/>
    <w:qFormat/>
    <w:rPr>
      <w:rFonts w:cs="Times New Roman"/>
    </w:rPr>
  </w:style>
  <w:style w:type="character" w:styleId="ListLabel252">
    <w:name w:val="ListLabel 252"/>
    <w:qFormat/>
    <w:rPr>
      <w:rFonts w:cs="Courier New"/>
    </w:rPr>
  </w:style>
  <w:style w:type="character" w:styleId="ListLabel253">
    <w:name w:val="ListLabel 253"/>
    <w:qFormat/>
    <w:rPr>
      <w:rFonts w:cs="Courier New"/>
    </w:rPr>
  </w:style>
  <w:style w:type="character" w:styleId="ListLabel254">
    <w:name w:val="ListLabel 254"/>
    <w:qFormat/>
    <w:rPr>
      <w:rFonts w:cs="Courier New"/>
    </w:rPr>
  </w:style>
  <w:style w:type="character" w:styleId="ListLabel255">
    <w:name w:val="ListLabel 255"/>
    <w:qFormat/>
    <w:rPr>
      <w:rFonts w:cs="Courier New"/>
    </w:rPr>
  </w:style>
  <w:style w:type="character" w:styleId="ListLabel256">
    <w:name w:val="ListLabel 256"/>
    <w:qFormat/>
    <w:rPr>
      <w:rFonts w:cs="Courier New"/>
    </w:rPr>
  </w:style>
  <w:style w:type="character" w:styleId="ListLabel257">
    <w:name w:val="ListLabel 257"/>
    <w:qFormat/>
    <w:rPr>
      <w:rFonts w:cs="Courier New"/>
    </w:rPr>
  </w:style>
  <w:style w:type="paragraph" w:styleId="Style21">
    <w:name w:val="Заголовок"/>
    <w:basedOn w:val="Normal"/>
    <w:next w:val="Style22"/>
    <w:qFormat/>
    <w:pPr>
      <w:keepNext/>
      <w:spacing w:before="240" w:after="120"/>
    </w:pPr>
    <w:rPr>
      <w:rFonts w:ascii="Liberation Sans" w:hAnsi="Liberation Sans" w:eastAsia="Microsoft YaHei" w:cs="Arial"/>
      <w:sz w:val="28"/>
      <w:szCs w:val="28"/>
    </w:rPr>
  </w:style>
  <w:style w:type="paragraph" w:styleId="Style22">
    <w:name w:val="Body Text"/>
    <w:basedOn w:val="Normal"/>
    <w:link w:val="afe"/>
    <w:semiHidden/>
    <w:rsid w:val="004d638d"/>
    <w:pPr>
      <w:spacing w:before="0" w:after="120"/>
    </w:pPr>
    <w:rPr>
      <w:rFonts w:eastAsia="Calibri"/>
      <w:szCs w:val="20"/>
    </w:rPr>
  </w:style>
  <w:style w:type="paragraph" w:styleId="Style23">
    <w:name w:val="List"/>
    <w:basedOn w:val="Normal"/>
    <w:link w:val="aff7"/>
    <w:unhideWhenUsed/>
    <w:rsid w:val="00324ff0"/>
    <w:pPr>
      <w:snapToGrid w:val="false"/>
      <w:spacing w:lineRule="auto" w:line="240" w:before="0" w:after="60"/>
    </w:pPr>
    <w:rPr>
      <w:rFonts w:ascii="Calibri" w:hAnsi="Calibri" w:eastAsia="Calibri"/>
      <w:szCs w:val="24"/>
    </w:rPr>
  </w:style>
  <w:style w:type="paragraph" w:styleId="Style24">
    <w:name w:val="Caption"/>
    <w:basedOn w:val="Normal"/>
    <w:qFormat/>
    <w:pPr>
      <w:suppressLineNumbers/>
      <w:spacing w:before="120" w:after="120"/>
    </w:pPr>
    <w:rPr>
      <w:rFonts w:cs="Arial"/>
      <w:i/>
      <w:iCs/>
      <w:sz w:val="24"/>
      <w:szCs w:val="24"/>
    </w:rPr>
  </w:style>
  <w:style w:type="paragraph" w:styleId="Style25">
    <w:name w:val="Указатель"/>
    <w:basedOn w:val="Normal"/>
    <w:qFormat/>
    <w:pPr>
      <w:suppressLineNumbers/>
    </w:pPr>
    <w:rPr>
      <w:rFonts w:cs="Arial"/>
    </w:rPr>
  </w:style>
  <w:style w:type="paragraph" w:styleId="Style26">
    <w:name w:val="Title"/>
    <w:basedOn w:val="Normal"/>
    <w:link w:val="a5"/>
    <w:autoRedefine/>
    <w:qFormat/>
    <w:rsid w:val="00971ee7"/>
    <w:pPr>
      <w:spacing w:lineRule="auto" w:line="240"/>
      <w:jc w:val="center"/>
    </w:pPr>
    <w:rPr>
      <w:rFonts w:eastAsia="Calibri"/>
      <w:b/>
      <w:spacing w:val="5"/>
      <w:kern w:val="2"/>
      <w:sz w:val="52"/>
      <w:szCs w:val="52"/>
    </w:rPr>
  </w:style>
  <w:style w:type="paragraph" w:styleId="Annotationtext">
    <w:name w:val="annotation text"/>
    <w:basedOn w:val="Normal"/>
    <w:link w:val="a8"/>
    <w:semiHidden/>
    <w:qFormat/>
    <w:rsid w:val="00d21cdf"/>
    <w:pPr>
      <w:spacing w:lineRule="auto" w:line="240"/>
    </w:pPr>
    <w:rPr>
      <w:rFonts w:eastAsia="Calibri"/>
      <w:sz w:val="20"/>
      <w:szCs w:val="20"/>
    </w:rPr>
  </w:style>
  <w:style w:type="paragraph" w:styleId="Annotationsubject">
    <w:name w:val="annotation subject"/>
    <w:basedOn w:val="Annotationtext"/>
    <w:link w:val="aa"/>
    <w:semiHidden/>
    <w:qFormat/>
    <w:rsid w:val="00d21cdf"/>
    <w:pPr/>
    <w:rPr>
      <w:b/>
      <w:bCs/>
    </w:rPr>
  </w:style>
  <w:style w:type="paragraph" w:styleId="BalloonText">
    <w:name w:val="Balloon Text"/>
    <w:basedOn w:val="Normal"/>
    <w:link w:val="ac"/>
    <w:semiHidden/>
    <w:qFormat/>
    <w:rsid w:val="00d21cdf"/>
    <w:pPr>
      <w:spacing w:lineRule="auto" w:line="240" w:before="0" w:after="0"/>
    </w:pPr>
    <w:rPr>
      <w:rFonts w:ascii="Tahoma" w:hAnsi="Tahoma" w:eastAsia="Calibri"/>
      <w:sz w:val="16"/>
      <w:szCs w:val="16"/>
    </w:rPr>
  </w:style>
  <w:style w:type="paragraph" w:styleId="Style27" w:customStyle="1">
    <w:name w:val="Название таблиц"/>
    <w:basedOn w:val="Normal"/>
    <w:qFormat/>
    <w:rsid w:val="007b2af0"/>
    <w:pPr>
      <w:jc w:val="center"/>
    </w:pPr>
    <w:rPr>
      <w:b/>
    </w:rPr>
  </w:style>
  <w:style w:type="paragraph" w:styleId="Style28" w:customStyle="1">
    <w:name w:val="Примечание"/>
    <w:basedOn w:val="Normal"/>
    <w:link w:val="af0"/>
    <w:qFormat/>
    <w:rsid w:val="007b2af0"/>
    <w:pPr/>
    <w:rPr>
      <w:rFonts w:eastAsia="Calibri"/>
      <w:sz w:val="20"/>
      <w:szCs w:val="20"/>
    </w:rPr>
  </w:style>
  <w:style w:type="paragraph" w:styleId="NormalWeb">
    <w:name w:val="Normal (Web)"/>
    <w:basedOn w:val="Normal"/>
    <w:uiPriority w:val="99"/>
    <w:qFormat/>
    <w:rsid w:val="00731cb3"/>
    <w:pPr>
      <w:spacing w:lineRule="auto" w:line="240" w:beforeAutospacing="1" w:afterAutospacing="1"/>
      <w:ind w:hanging="0"/>
      <w:jc w:val="left"/>
    </w:pPr>
    <w:rPr>
      <w:rFonts w:eastAsia="Calibri"/>
      <w:szCs w:val="24"/>
      <w:lang w:eastAsia="ru-RU"/>
    </w:rPr>
  </w:style>
  <w:style w:type="paragraph" w:styleId="13" w:customStyle="1">
    <w:name w:val="Абзац списка1"/>
    <w:basedOn w:val="Normal"/>
    <w:qFormat/>
    <w:rsid w:val="00751058"/>
    <w:pPr>
      <w:spacing w:lineRule="auto" w:line="240" w:before="0" w:after="0"/>
      <w:ind w:left="720" w:hanging="0"/>
      <w:jc w:val="left"/>
    </w:pPr>
    <w:rPr>
      <w:rFonts w:eastAsia="Calibri"/>
      <w:sz w:val="26"/>
      <w:szCs w:val="24"/>
      <w:lang w:eastAsia="ru-RU"/>
    </w:rPr>
  </w:style>
  <w:style w:type="paragraph" w:styleId="14" w:customStyle="1">
    <w:name w:val="Без интервала1"/>
    <w:qFormat/>
    <w:rsid w:val="0072685f"/>
    <w:pPr>
      <w:widowControl/>
      <w:bidi w:val="0"/>
      <w:jc w:val="left"/>
    </w:pPr>
    <w:rPr>
      <w:rFonts w:ascii="Times New Roman" w:hAnsi="Times New Roman" w:eastAsia="Calibri" w:cs="Times New Roman"/>
      <w:color w:val="auto"/>
      <w:kern w:val="0"/>
      <w:sz w:val="22"/>
      <w:szCs w:val="22"/>
      <w:lang w:eastAsia="en-US" w:val="ru-RU" w:bidi="ar-SA"/>
    </w:rPr>
  </w:style>
  <w:style w:type="paragraph" w:styleId="Standard" w:customStyle="1">
    <w:name w:val="Standard"/>
    <w:qFormat/>
    <w:rsid w:val="00670ebe"/>
    <w:pPr>
      <w:widowControl w:val="false"/>
      <w:suppressAutoHyphens w:val="true"/>
      <w:bidi w:val="0"/>
      <w:jc w:val="left"/>
      <w:textAlignment w:val="baseline"/>
    </w:pPr>
    <w:rPr>
      <w:rFonts w:ascii="Times New Roman" w:hAnsi="Times New Roman" w:eastAsia="Arial Unicode MS" w:cs="Times New Roman"/>
      <w:color w:val="auto"/>
      <w:kern w:val="2"/>
      <w:sz w:val="24"/>
      <w:szCs w:val="24"/>
      <w:lang w:eastAsia="zh-CN" w:bidi="hi-IN" w:val="ru-RU"/>
    </w:rPr>
  </w:style>
  <w:style w:type="paragraph" w:styleId="Style81" w:customStyle="1">
    <w:name w:val="Style8"/>
    <w:basedOn w:val="Standard"/>
    <w:qFormat/>
    <w:rsid w:val="00670ebe"/>
    <w:pPr/>
    <w:rPr/>
  </w:style>
  <w:style w:type="paragraph" w:styleId="Style34" w:customStyle="1">
    <w:name w:val="Style34"/>
    <w:basedOn w:val="Standard"/>
    <w:qFormat/>
    <w:rsid w:val="00670ebe"/>
    <w:pPr/>
    <w:rPr/>
  </w:style>
  <w:style w:type="paragraph" w:styleId="Style59" w:customStyle="1">
    <w:name w:val="Style59"/>
    <w:basedOn w:val="Standard"/>
    <w:qFormat/>
    <w:rsid w:val="00670ebe"/>
    <w:pPr/>
    <w:rPr/>
  </w:style>
  <w:style w:type="paragraph" w:styleId="15" w:customStyle="1">
    <w:name w:val="Рецензия1"/>
    <w:semiHidden/>
    <w:qFormat/>
    <w:rsid w:val="005c5411"/>
    <w:pPr>
      <w:widowControl/>
      <w:bidi w:val="0"/>
      <w:jc w:val="left"/>
    </w:pPr>
    <w:rPr>
      <w:rFonts w:ascii="Times New Roman" w:hAnsi="Times New Roman" w:eastAsia="Times New Roman" w:cs="Times New Roman"/>
      <w:color w:val="auto"/>
      <w:kern w:val="0"/>
      <w:sz w:val="24"/>
      <w:szCs w:val="22"/>
      <w:lang w:eastAsia="en-US" w:val="ru-RU" w:bidi="ar-SA"/>
    </w:rPr>
  </w:style>
  <w:style w:type="paragraph" w:styleId="Style37" w:customStyle="1">
    <w:name w:val="Style37"/>
    <w:basedOn w:val="Standard"/>
    <w:qFormat/>
    <w:rsid w:val="00dc473a"/>
    <w:pPr/>
    <w:rPr/>
  </w:style>
  <w:style w:type="paragraph" w:styleId="Style57" w:customStyle="1">
    <w:name w:val="Style57"/>
    <w:basedOn w:val="Standard"/>
    <w:qFormat/>
    <w:rsid w:val="00dc473a"/>
    <w:pPr/>
    <w:rPr/>
  </w:style>
  <w:style w:type="paragraph" w:styleId="Style171" w:customStyle="1">
    <w:name w:val="Style17"/>
    <w:basedOn w:val="Standard"/>
    <w:qFormat/>
    <w:rsid w:val="00dc473a"/>
    <w:pPr/>
    <w:rPr/>
  </w:style>
  <w:style w:type="paragraph" w:styleId="Style201" w:customStyle="1">
    <w:name w:val="Style20"/>
    <w:basedOn w:val="Standard"/>
    <w:qFormat/>
    <w:rsid w:val="00dc473a"/>
    <w:pPr/>
    <w:rPr/>
  </w:style>
  <w:style w:type="paragraph" w:styleId="Style82" w:customStyle="1">
    <w:name w:val="Style82"/>
    <w:basedOn w:val="Standard"/>
    <w:qFormat/>
    <w:rsid w:val="00dc473a"/>
    <w:pPr/>
    <w:rPr/>
  </w:style>
  <w:style w:type="paragraph" w:styleId="Style141" w:customStyle="1">
    <w:name w:val="Style14"/>
    <w:basedOn w:val="Standard"/>
    <w:qFormat/>
    <w:rsid w:val="00dc473a"/>
    <w:pPr/>
    <w:rPr/>
  </w:style>
  <w:style w:type="paragraph" w:styleId="Style281" w:customStyle="1">
    <w:name w:val="Style28"/>
    <w:basedOn w:val="Standard"/>
    <w:qFormat/>
    <w:rsid w:val="003b1395"/>
    <w:pPr/>
    <w:rPr/>
  </w:style>
  <w:style w:type="paragraph" w:styleId="Style151" w:customStyle="1">
    <w:name w:val="Style15"/>
    <w:basedOn w:val="Standard"/>
    <w:qFormat/>
    <w:rsid w:val="003b1395"/>
    <w:pPr/>
    <w:rPr/>
  </w:style>
  <w:style w:type="paragraph" w:styleId="Style251" w:customStyle="1">
    <w:name w:val="Style25"/>
    <w:basedOn w:val="Standard"/>
    <w:qFormat/>
    <w:rsid w:val="003b1395"/>
    <w:pPr/>
    <w:rPr/>
  </w:style>
  <w:style w:type="paragraph" w:styleId="Caption">
    <w:name w:val="caption"/>
    <w:basedOn w:val="Normal"/>
    <w:link w:val="22"/>
    <w:qFormat/>
    <w:rsid w:val="009a28bc"/>
    <w:pPr>
      <w:spacing w:lineRule="auto" w:line="240"/>
      <w:ind w:hanging="0"/>
      <w:jc w:val="left"/>
    </w:pPr>
    <w:rPr>
      <w:rFonts w:eastAsia="Calibri"/>
      <w:b/>
      <w:bCs/>
      <w:color w:val="4F81BD"/>
      <w:sz w:val="18"/>
      <w:szCs w:val="18"/>
    </w:rPr>
  </w:style>
  <w:style w:type="paragraph" w:styleId="HTMLPreformatted">
    <w:name w:val="HTML Preformatted"/>
    <w:basedOn w:val="Normal"/>
    <w:link w:val="HTML0"/>
    <w:semiHidden/>
    <w:qFormat/>
    <w:rsid w:val="00f00131"/>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pPr>
    <w:rPr>
      <w:rFonts w:ascii="Courier New" w:hAnsi="Courier New" w:eastAsia="Calibri"/>
      <w:sz w:val="20"/>
      <w:szCs w:val="20"/>
      <w:lang w:eastAsia="ru-RU"/>
    </w:rPr>
  </w:style>
  <w:style w:type="paragraph" w:styleId="Style29">
    <w:name w:val="Body Text Indent"/>
    <w:basedOn w:val="Normal"/>
    <w:link w:val="af8"/>
    <w:rsid w:val="00da123e"/>
    <w:pPr>
      <w:spacing w:lineRule="atLeast" w:line="100" w:before="0" w:after="120"/>
      <w:ind w:left="283" w:hanging="0"/>
    </w:pPr>
    <w:rPr>
      <w:rFonts w:ascii="Arial" w:hAnsi="Arial" w:cs="Times New Roman"/>
      <w:sz w:val="20"/>
      <w:szCs w:val="20"/>
    </w:rPr>
  </w:style>
  <w:style w:type="paragraph" w:styleId="16" w:customStyle="1">
    <w:name w:val="Заголовок оглавления1"/>
    <w:basedOn w:val="1"/>
    <w:semiHidden/>
    <w:qFormat/>
    <w:rsid w:val="00403008"/>
    <w:pPr>
      <w:ind w:hanging="0"/>
      <w:jc w:val="left"/>
    </w:pPr>
    <w:rPr>
      <w:rFonts w:ascii="Cambria" w:hAnsi="Cambria"/>
      <w:color w:val="365F91"/>
    </w:rPr>
  </w:style>
  <w:style w:type="paragraph" w:styleId="17">
    <w:name w:val="TOC 1"/>
    <w:basedOn w:val="Normal"/>
    <w:autoRedefine/>
    <w:uiPriority w:val="39"/>
    <w:rsid w:val="00403008"/>
    <w:pPr>
      <w:spacing w:before="0" w:after="100"/>
    </w:pPr>
    <w:rPr/>
  </w:style>
  <w:style w:type="paragraph" w:styleId="23">
    <w:name w:val="TOC 2"/>
    <w:basedOn w:val="Normal"/>
    <w:autoRedefine/>
    <w:uiPriority w:val="39"/>
    <w:rsid w:val="00254567"/>
    <w:pPr>
      <w:tabs>
        <w:tab w:val="left" w:pos="1276" w:leader="none"/>
        <w:tab w:val="left" w:pos="1560" w:leader="none"/>
        <w:tab w:val="right" w:pos="9345" w:leader="dot"/>
      </w:tabs>
      <w:spacing w:before="0" w:after="100"/>
      <w:ind w:hanging="0"/>
      <w:jc w:val="center"/>
    </w:pPr>
    <w:rPr>
      <w:sz w:val="28"/>
      <w:szCs w:val="28"/>
    </w:rPr>
  </w:style>
  <w:style w:type="paragraph" w:styleId="Style30">
    <w:name w:val="Header"/>
    <w:basedOn w:val="Normal"/>
    <w:link w:val="afa"/>
    <w:uiPriority w:val="99"/>
    <w:rsid w:val="00bd2610"/>
    <w:pPr>
      <w:tabs>
        <w:tab w:val="center" w:pos="4677" w:leader="none"/>
        <w:tab w:val="right" w:pos="9355" w:leader="none"/>
      </w:tabs>
      <w:spacing w:lineRule="auto" w:line="240" w:before="0" w:after="0"/>
    </w:pPr>
    <w:rPr>
      <w:rFonts w:eastAsia="Calibri"/>
      <w:szCs w:val="20"/>
    </w:rPr>
  </w:style>
  <w:style w:type="paragraph" w:styleId="Style31">
    <w:name w:val="Footer"/>
    <w:basedOn w:val="Normal"/>
    <w:link w:val="afc"/>
    <w:uiPriority w:val="99"/>
    <w:rsid w:val="00bd2610"/>
    <w:pPr>
      <w:tabs>
        <w:tab w:val="center" w:pos="4677" w:leader="none"/>
        <w:tab w:val="right" w:pos="9355" w:leader="none"/>
      </w:tabs>
      <w:spacing w:lineRule="auto" w:line="240" w:before="0" w:after="0"/>
    </w:pPr>
    <w:rPr>
      <w:rFonts w:eastAsia="Calibri"/>
      <w:szCs w:val="20"/>
    </w:rPr>
  </w:style>
  <w:style w:type="paragraph" w:styleId="Style210" w:customStyle="1">
    <w:name w:val="Style2"/>
    <w:basedOn w:val="Normal"/>
    <w:qFormat/>
    <w:rsid w:val="005c4601"/>
    <w:pPr>
      <w:widowControl w:val="false"/>
      <w:spacing w:lineRule="exact" w:line="235" w:before="0" w:after="0"/>
      <w:ind w:hanging="0"/>
      <w:jc w:val="right"/>
    </w:pPr>
    <w:rPr>
      <w:rFonts w:ascii="MS Reference Sans Serif" w:hAnsi="MS Reference Sans Serif" w:eastAsia="Calibri"/>
      <w:szCs w:val="24"/>
      <w:lang w:eastAsia="ru-RU"/>
    </w:rPr>
  </w:style>
  <w:style w:type="paragraph" w:styleId="34">
    <w:name w:val="TOC 3"/>
    <w:basedOn w:val="Normal"/>
    <w:autoRedefine/>
    <w:semiHidden/>
    <w:rsid w:val="001a618e"/>
    <w:pPr>
      <w:spacing w:before="0" w:after="100"/>
      <w:ind w:left="480" w:hanging="0"/>
    </w:pPr>
    <w:rPr/>
  </w:style>
  <w:style w:type="paragraph" w:styleId="24" w:customStyle="1">
    <w:name w:val="Без интервала2"/>
    <w:qFormat/>
    <w:rsid w:val="00b72be7"/>
    <w:pPr>
      <w:widowControl/>
      <w:bidi w:val="0"/>
      <w:jc w:val="left"/>
    </w:pPr>
    <w:rPr>
      <w:rFonts w:ascii="Times New Roman" w:hAnsi="Times New Roman" w:eastAsia="Calibri" w:cs="Times New Roman"/>
      <w:color w:val="auto"/>
      <w:kern w:val="0"/>
      <w:sz w:val="24"/>
      <w:szCs w:val="24"/>
      <w:lang w:val="ru-RU" w:eastAsia="ru-RU" w:bidi="ar-SA"/>
    </w:rPr>
  </w:style>
  <w:style w:type="paragraph" w:styleId="NoSpacing">
    <w:name w:val="No Spacing"/>
    <w:link w:val="aff0"/>
    <w:uiPriority w:val="1"/>
    <w:qFormat/>
    <w:rsid w:val="002b4bce"/>
    <w:pPr>
      <w:widowControl/>
      <w:bidi w:val="0"/>
      <w:jc w:val="left"/>
    </w:pPr>
    <w:rPr>
      <w:rFonts w:eastAsia="Times New Roman" w:ascii="Calibri" w:hAnsi="Calibri" w:cs="Times New Roman"/>
      <w:color w:val="auto"/>
      <w:kern w:val="0"/>
      <w:sz w:val="22"/>
      <w:szCs w:val="22"/>
      <w:lang w:val="ru-RU" w:eastAsia="ru-RU" w:bidi="ar-SA"/>
    </w:rPr>
  </w:style>
  <w:style w:type="paragraph" w:styleId="ListParagraph">
    <w:name w:val="List Paragraph"/>
    <w:basedOn w:val="Normal"/>
    <w:link w:val="aff2"/>
    <w:uiPriority w:val="34"/>
    <w:qFormat/>
    <w:rsid w:val="002b4bce"/>
    <w:pPr>
      <w:spacing w:before="0" w:after="200"/>
      <w:ind w:left="720" w:hanging="0"/>
      <w:contextualSpacing/>
      <w:jc w:val="left"/>
    </w:pPr>
    <w:rPr>
      <w:rFonts w:ascii="Calibri" w:hAnsi="Calibri"/>
      <w:sz w:val="22"/>
    </w:rPr>
  </w:style>
  <w:style w:type="paragraph" w:styleId="25" w:customStyle="1">
    <w:name w:val="Стиль Заголовок 2 + не малые прописные"/>
    <w:basedOn w:val="2"/>
    <w:autoRedefine/>
    <w:qFormat/>
    <w:rsid w:val="002b4bce"/>
    <w:pPr>
      <w:widowControl w:val="false"/>
      <w:numPr>
        <w:ilvl w:val="0"/>
        <w:numId w:val="0"/>
      </w:numPr>
      <w:spacing w:lineRule="auto" w:line="360" w:before="360" w:after="360"/>
    </w:pPr>
    <w:rPr>
      <w:rFonts w:eastAsia="Times New Roman" w:cs="Arial"/>
      <w:i/>
      <w:smallCaps/>
      <w:szCs w:val="28"/>
      <w:lang w:eastAsia="ru-RU"/>
    </w:rPr>
  </w:style>
  <w:style w:type="paragraph" w:styleId="3040" w:customStyle="1">
    <w:name w:val="Стиль Заголовок 3 + Слева:  0.4 см Первая строка:  0 см"/>
    <w:basedOn w:val="3"/>
    <w:qFormat/>
    <w:rsid w:val="002b4bce"/>
    <w:pPr>
      <w:keepLines w:val="false"/>
      <w:widowControl w:val="false"/>
      <w:spacing w:lineRule="auto" w:line="360" w:before="360" w:after="360"/>
      <w:jc w:val="left"/>
    </w:pPr>
    <w:rPr>
      <w:rFonts w:ascii="Times New Roman" w:hAnsi="Times New Roman" w:eastAsia="Times New Roman"/>
      <w:i/>
      <w:color w:val="00000A"/>
      <w:sz w:val="28"/>
      <w:lang w:eastAsia="ru-RU"/>
    </w:rPr>
  </w:style>
  <w:style w:type="paragraph" w:styleId="Style32" w:customStyle="1">
    <w:name w:val="Абзац"/>
    <w:basedOn w:val="Normal"/>
    <w:link w:val="aff4"/>
    <w:qFormat/>
    <w:rsid w:val="0097736d"/>
    <w:pPr>
      <w:spacing w:lineRule="auto" w:line="240" w:before="120" w:after="60"/>
    </w:pPr>
    <w:rPr>
      <w:szCs w:val="24"/>
    </w:rPr>
  </w:style>
  <w:style w:type="paragraph" w:styleId="82" w:customStyle="1">
    <w:name w:val="Основной текст8"/>
    <w:basedOn w:val="Normal"/>
    <w:link w:val="aff5"/>
    <w:qFormat/>
    <w:rsid w:val="00f15869"/>
    <w:pPr>
      <w:widowControl w:val="false"/>
      <w:shd w:val="clear" w:color="auto" w:fill="FFFFFF"/>
      <w:spacing w:lineRule="auto" w:before="0" w:after="180"/>
      <w:ind w:hanging="360"/>
      <w:jc w:val="center"/>
    </w:pPr>
    <w:rPr>
      <w:sz w:val="22"/>
    </w:rPr>
  </w:style>
  <w:style w:type="paragraph" w:styleId="TableParagraph" w:customStyle="1">
    <w:name w:val="Table Paragraph"/>
    <w:basedOn w:val="Normal"/>
    <w:uiPriority w:val="1"/>
    <w:qFormat/>
    <w:rsid w:val="00254567"/>
    <w:pPr>
      <w:widowControl w:val="false"/>
      <w:spacing w:lineRule="auto" w:line="240" w:before="8" w:after="0"/>
      <w:ind w:hanging="0"/>
      <w:jc w:val="center"/>
    </w:pPr>
    <w:rPr>
      <w:sz w:val="22"/>
      <w:lang w:val="en-US"/>
    </w:rPr>
  </w:style>
  <w:style w:type="paragraph" w:styleId="26" w:customStyle="1">
    <w:name w:val="Абзац списка2"/>
    <w:basedOn w:val="Normal"/>
    <w:qFormat/>
    <w:rsid w:val="002253ed"/>
    <w:pPr>
      <w:spacing w:lineRule="auto" w:line="240" w:before="0" w:after="0"/>
      <w:ind w:left="720" w:hanging="0"/>
      <w:jc w:val="left"/>
    </w:pPr>
    <w:rPr>
      <w:rFonts w:eastAsia="Calibri"/>
      <w:sz w:val="26"/>
      <w:szCs w:val="24"/>
      <w:lang w:eastAsia="ru-RU"/>
    </w:rPr>
  </w:style>
  <w:style w:type="paragraph" w:styleId="Style33">
    <w:name w:val="Содержимое врезки"/>
    <w:basedOn w:val="Normal"/>
    <w:qFormat/>
    <w:pPr/>
    <w:rPr/>
  </w:style>
  <w:style w:type="numbering" w:styleId="NoList" w:default="1">
    <w:name w:val="No List"/>
    <w:uiPriority w:val="99"/>
    <w:semiHidden/>
    <w:unhideWhenUsed/>
    <w:qFormat/>
  </w:style>
  <w:style w:type="numbering" w:styleId="18" w:customStyle="1">
    <w:name w:val="Статья / Раздел1"/>
    <w:qFormat/>
    <w:rsid w:val="00a910a2"/>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table" w:styleId="ae">
    <w:name w:val="Table Grid"/>
    <w:basedOn w:val="a2"/>
    <w:uiPriority w:val="59"/>
    <w:rsid w:val="007b2af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af4">
    <w:name w:val="Таблицы"/>
    <w:basedOn w:val="ae"/>
    <w:rsid w:val="00fd2c53"/>
    <w:pPr>
      <w:jc w:val="center"/>
    </w:pPr>
    <w:rPr>
      <w:sz w:val="24"/>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leNormal">
    <w:name w:val="Table Normal"/>
    <w:uiPriority w:val="2"/>
    <w:semiHidden/>
    <w:unhideWhenUsed/>
    <w:qFormat/>
    <w:rsid w:val="00254567"/>
    <w:rPr>
      <w:lang w:val="en-US" w:eastAsia="en-US"/>
      <w:sz w:val="22"/>
      <w:szCs w:val="22"/>
    </w:rPr>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chart" Target="charts/chart1.xml"/><Relationship Id="rId7" Type="http://schemas.openxmlformats.org/officeDocument/2006/relationships/footer" Target="footer1.xml"/><Relationship Id="rId8" Type="http://schemas.openxmlformats.org/officeDocument/2006/relationships/image" Target="media/image5.png"/><Relationship Id="rId9" Type="http://schemas.openxmlformats.org/officeDocument/2006/relationships/footer" Target="footer2.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_____Microsoft_Office_Excel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view3D>
      <c:rotX val="30"/>
      <c:rotY val="0"/>
      <c:rAngAx val="0"/>
      <c:perspective val="30"/>
    </c:view3D>
    <c:floor>
      <c:spPr>
        <a:solidFill>
          <a:srgbClr val="d9d9d9"/>
        </a:solidFill>
        <a:ln>
          <a:noFill/>
        </a:ln>
      </c:spPr>
    </c:floor>
    <c:backWall>
      <c:spPr>
        <a:solidFill>
          <a:srgbClr val="d9d9d9"/>
        </a:solidFill>
        <a:ln>
          <a:noFill/>
        </a:ln>
      </c:spPr>
    </c:backWall>
    <c:plotArea>
      <c:pie3DChart>
        <c:varyColors val="1"/>
        <c:ser>
          <c:idx val="0"/>
          <c:order val="0"/>
          <c:tx>
            <c:strRef>
              <c:f>label 0</c:f>
              <c:strCache>
                <c:ptCount val="1"/>
                <c:pt idx="0">
                  <c:v>Столбец1</c:v>
                </c:pt>
              </c:strCache>
            </c:strRef>
          </c:tx>
          <c:spPr>
            <a:solidFill>
              <a:srgbClr val="4f81bd"/>
            </a:solidFill>
            <a:ln>
              <a:noFill/>
            </a:ln>
          </c:spPr>
          <c:explosion val="3"/>
          <c:dPt>
            <c:idx val="0"/>
            <c:spPr>
              <a:solidFill>
                <a:srgbClr val="4f81bd"/>
              </a:solidFill>
              <a:ln>
                <a:noFill/>
              </a:ln>
            </c:spPr>
          </c:dPt>
          <c:dPt>
            <c:idx val="1"/>
            <c:spPr>
              <a:solidFill>
                <a:srgbClr val="c0504d"/>
              </a:solidFill>
              <a:ln>
                <a:noFill/>
              </a:ln>
            </c:spPr>
          </c:dPt>
          <c:dPt>
            <c:idx val="2"/>
            <c:spPr>
              <a:solidFill>
                <a:srgbClr val="9bbb59"/>
              </a:solidFill>
              <a:ln>
                <a:noFill/>
              </a:ln>
            </c:spPr>
          </c:dPt>
          <c:dPt>
            <c:idx val="3"/>
            <c:spPr>
              <a:solidFill>
                <a:srgbClr val="8064a2"/>
              </a:solidFill>
              <a:ln>
                <a:noFill/>
              </a:ln>
            </c:spPr>
          </c:dPt>
          <c:dPt>
            <c:idx val="4"/>
            <c:spPr>
              <a:solidFill>
                <a:srgbClr val="4bacc6"/>
              </a:solidFill>
              <a:ln>
                <a:noFill/>
              </a:ln>
            </c:spPr>
          </c:dPt>
          <c:dLbls>
            <c:dLbl>
              <c:idx val="0"/>
              <c:showLegendKey val="0"/>
              <c:showVal val="0"/>
              <c:showCatName val="0"/>
              <c:showSerName val="0"/>
              <c:showPercent val="0"/>
            </c:dLbl>
            <c:dLbl>
              <c:idx val="1"/>
              <c:showLegendKey val="0"/>
              <c:showVal val="0"/>
              <c:showCatName val="0"/>
              <c:showSerName val="0"/>
              <c:showPercent val="0"/>
            </c:dLbl>
            <c:dLbl>
              <c:idx val="2"/>
              <c:showLegendKey val="0"/>
              <c:showVal val="0"/>
              <c:showCatName val="0"/>
              <c:showSerName val="0"/>
              <c:showPercent val="0"/>
            </c:dLbl>
            <c:dLbl>
              <c:idx val="3"/>
              <c:showLegendKey val="0"/>
              <c:showVal val="0"/>
              <c:showCatName val="0"/>
              <c:showSerName val="0"/>
              <c:showPercent val="0"/>
            </c:dLbl>
            <c:dLbl>
              <c:idx val="4"/>
              <c:showLegendKey val="0"/>
              <c:showVal val="0"/>
              <c:showCatName val="0"/>
              <c:showSerName val="0"/>
              <c:showPercent val="0"/>
            </c:dLbl>
            <c:showLegendKey val="0"/>
            <c:showVal val="0"/>
            <c:showCatName val="0"/>
            <c:showSerName val="0"/>
            <c:showPercent val="0"/>
            <c:showLeaderLines val="0"/>
          </c:dLbls>
          <c:cat>
            <c:strRef>
              <c:f>categories</c:f>
              <c:strCache>
                <c:ptCount val="5"/>
                <c:pt idx="0">
                  <c:v>Населени</c:v>
                </c:pt>
                <c:pt idx="1">
                  <c:v>Организации</c:v>
                </c:pt>
                <c:pt idx="2">
                  <c:v>Бюджетные учреждения</c:v>
                </c:pt>
                <c:pt idx="3">
                  <c:v>Собственные нужды</c:v>
                </c:pt>
                <c:pt idx="4">
                  <c:v>Потери</c:v>
                </c:pt>
              </c:strCache>
            </c:strRef>
          </c:cat>
          <c:val>
            <c:numRef>
              <c:f>0</c:f>
              <c:numCache>
                <c:formatCode>General</c:formatCode>
                <c:ptCount val="5"/>
                <c:pt idx="0">
                  <c:v>92.25</c:v>
                </c:pt>
                <c:pt idx="1">
                  <c:v>2.69</c:v>
                </c:pt>
                <c:pt idx="2">
                  <c:v>4.23</c:v>
                </c:pt>
                <c:pt idx="3">
                  <c:v>0.0400000000000001</c:v>
                </c:pt>
                <c:pt idx="4">
                  <c:v>0.770000000000002</c:v>
                </c:pt>
              </c:numCache>
            </c:numRef>
          </c:val>
        </c:ser>
      </c:pie3DChart>
      <c:spPr>
        <a:solidFill>
          <a:srgbClr val="d9d9d9"/>
        </a:solidFill>
        <a:ln>
          <a:noFill/>
        </a:ln>
      </c:spPr>
    </c:plotArea>
    <c:legend>
      <c:legendPos val="r"/>
      <c:overlay val="0"/>
      <c:spPr>
        <a:noFill/>
        <a:ln>
          <a:noFill/>
        </a:ln>
      </c:spPr>
    </c:legend>
    <c:plotVisOnly val="1"/>
    <c:dispBlanksAs val="zero"/>
  </c:chart>
  <c:spPr>
    <a:solidFill>
      <a:srgbClr val="ffffff"/>
    </a:solid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B1C36-1483-4934-9AC0-ECB746440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Application>LibreOffice/5.4.1.2$Windows_x86 LibreOffice_project/ea7cb86e6eeb2bf3a5af73a8f7777ac570321527</Application>
  <Pages>47</Pages>
  <Words>8341</Words>
  <Characters>61941</Characters>
  <CharactersWithSpaces>69537</CharactersWithSpaces>
  <Paragraphs>864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2019-06-13T08:27:00Z</dcterms:created>
  <dc:creator>Tanya3</dc:creator>
  <dc:description/>
  <dc:language>ru-RU</dc:language>
  <cp:lastModifiedBy/>
  <cp:lastPrinted>2019-07-11T01:36:00Z</cp:lastPrinted>
  <dcterms:modified xsi:type="dcterms:W3CDTF">2019-07-17T11:06:33Z</dcterms:modified>
  <cp:revision>10</cp:revision>
  <dc:subject/>
  <dc:title>УТВЕРЖДАЮ</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