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E" w:rsidRPr="00362A65" w:rsidRDefault="00E2447E" w:rsidP="00E2447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36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36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Й С К А Я  Ф Е Д Е Р А Ц И Я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 Т С К А Я  О Б Л АСТЬ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 </w:t>
      </w:r>
      <w:proofErr w:type="gramStart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Н С К И Й  Р А Й О Н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АЛЕКСЕЕВСКОЕ МУНИЦИПАЛЬНОЕ ОБРАЗОВАНИЕ    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ОБРАЗОВАНИЯ</w:t>
      </w: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362A6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№</w:t>
      </w:r>
      <w:r w:rsidR="0036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5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</w:p>
    <w:p w:rsidR="00E2447E" w:rsidRPr="00362A6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E2447E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362A6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Алексеевск                                                                       </w:t>
      </w:r>
      <w:r w:rsidR="00252BB8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 w:rsidRPr="00E2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E2447E" w:rsidRPr="00362A6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F3" w:rsidRPr="00362A65" w:rsidRDefault="00E2447E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2A6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proofErr w:type="gramStart"/>
      <w:r w:rsidRPr="00362A65">
        <w:rPr>
          <w:rFonts w:ascii="Times New Roman" w:hAnsi="Times New Roman" w:cs="Times New Roman"/>
          <w:b/>
          <w:sz w:val="24"/>
          <w:szCs w:val="24"/>
        </w:rPr>
        <w:t>О</w:t>
      </w:r>
      <w:r w:rsidR="00CA2DF3" w:rsidRPr="00362A65">
        <w:rPr>
          <w:rFonts w:ascii="Times New Roman" w:hAnsi="Times New Roman" w:cs="Times New Roman"/>
          <w:b/>
          <w:sz w:val="24"/>
          <w:szCs w:val="24"/>
        </w:rPr>
        <w:t>б утверждении положения о сообщении муниципальными служащими администрации Алексеевского муниципального образования о получении подарка  в связи с протокольными мероприятиями</w:t>
      </w:r>
      <w:proofErr w:type="gramEnd"/>
      <w:r w:rsidR="00CA2DF3" w:rsidRPr="00362A65">
        <w:rPr>
          <w:rFonts w:ascii="Times New Roman" w:hAnsi="Times New Roman" w:cs="Times New Roman"/>
          <w:b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E2447E" w:rsidRPr="00E2447E" w:rsidRDefault="00E2447E" w:rsidP="00CA2DF3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447E" w:rsidRPr="00E2447E" w:rsidRDefault="00E2447E" w:rsidP="00E24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Федеральным законом от 02.03.2007 № 25-ФЗ «О муниципальной службе Российской Федерации», Федеральным законом от 25.12.2008 № 273-ФЗ «О противодействии коррупци</w:t>
      </w:r>
      <w:r w:rsidR="003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proofErr w:type="gramStart"/>
      <w:r w:rsidR="003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4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Алексеевского муниципального образования, </w:t>
      </w:r>
    </w:p>
    <w:p w:rsidR="00E2447E" w:rsidRPr="00E2447E" w:rsidRDefault="00E2447E" w:rsidP="00E24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2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 </w:t>
      </w:r>
    </w:p>
    <w:p w:rsidR="00115277" w:rsidRDefault="00115277" w:rsidP="00115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5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115277">
        <w:rPr>
          <w:rFonts w:ascii="Times New Roman" w:hAnsi="Times New Roman" w:cs="Times New Roman"/>
          <w:sz w:val="24"/>
          <w:szCs w:val="24"/>
        </w:rPr>
        <w:t xml:space="preserve"> положения о сообщении муниципальными служащими администрации Алексеевского муниципального образования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115277" w:rsidRDefault="00115277" w:rsidP="00115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277" w:rsidRPr="00115277" w:rsidRDefault="00115277" w:rsidP="001152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 официальном сайте Администрации Алексеевского муниципального образования в информационно-телекоммуникационной сети «Интернет» и в муниципальной газете «Вестник»</w:t>
      </w:r>
    </w:p>
    <w:p w:rsidR="00115277" w:rsidRPr="00115277" w:rsidRDefault="00115277" w:rsidP="001152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447E" w:rsidRPr="00362A65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447E" w:rsidRPr="00362A65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447E" w:rsidRPr="00115277" w:rsidRDefault="00115277" w:rsidP="0011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1527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Глава Алексеевского муниципального образования                                      </w:t>
      </w:r>
      <w:proofErr w:type="spellStart"/>
      <w:r w:rsidRPr="0011527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А.М.Селиванов</w:t>
      </w:r>
      <w:proofErr w:type="spellEnd"/>
    </w:p>
    <w:p w:rsidR="00E2447E" w:rsidRPr="00362A65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447E" w:rsidRPr="00362A65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62A65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62A65" w:rsidRDefault="00362A65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62A65" w:rsidRDefault="00362A65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62A65" w:rsidRDefault="00362A65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2BB8" w:rsidRDefault="00252BB8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362A65" w:rsidRDefault="00362A65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447E" w:rsidRPr="00E2447E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ию администрации</w:t>
      </w:r>
      <w:r w:rsidR="00252B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АМО № 86 от 15.10.2018 г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15277" w:rsidRPr="00115277" w:rsidRDefault="00E2447E" w:rsidP="00E24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E2447E" w:rsidRPr="00E2447E" w:rsidRDefault="00E2447E" w:rsidP="00E24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СООБЩЕНИИ МУНИЦИПАЛЬНЫМИ СЛУЖАЩИ</w:t>
      </w:r>
      <w:r w:rsidR="00CA2DF3" w:rsidRPr="0011527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МИ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в соответствии с пунктом 2 статьи 575 </w:t>
      </w:r>
      <w:hyperlink r:id="rId6" w:history="1">
        <w:r w:rsidRPr="00E2447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пунктом 5 части 1 статьи 14 Федерального закона от 22.03.2007 N 25-ФЗ "О муниципальной службе в Российской Федерации" определяет порядок сообщения муниципальными служащи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целей настоящего Положения используются следующие понятия: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исполнением им должностных обязанностей, - подарок, полученный муниципальным служащ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лично или через посредника от физических (юридических) лиц, которые осуществляют дарение, исходя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- подарок);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муниципальный служащий - муниципальный служащ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представителем нанимателя (работодателем) котор</w:t>
      </w:r>
      <w:r w:rsidR="00CA2DF3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является глава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уполномоченные им должностные лица;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 </w:t>
      </w:r>
      <w:hyperlink r:id="rId7" w:history="1">
        <w:r w:rsidRPr="00E2447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E2447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Российской Федерации от 09.01.2014 N 10</w:t>
        </w:r>
      </w:hyperlink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Муниципальные служащие обязаны в порядке, предусмотренном настоящим Положением, уведомлять обо всех случаях получения подарка.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Уведомление о получении подарка (далее - уведомление) муниципальные служащие представляют в уполномоченный орган.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Уведомление составляется по форме согласно приложению N 1.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N 2.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Уведомление представляется муниципальным служащим не позднее 3 рабочих дней со дня получения подарка.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 не позднее дня, следующего за днем устранения причины.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К уведомлению прилагаются: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описание подарка;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другие документы, в том числе содержащие характеристики подарка и правила его использования (при наличии).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Ответственным лицом уполномоченного органа в течение 3 рабочих дней со дня регистрации уведомления в уполномоченном органе осуществляется фотографирование подарка с различных сторон в цветном изображении на электронный носитель.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Фотографии подарка с различных сторон в цветном изображении прилагаются к уведомлению.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12.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- документы), сдается на хранение по акту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приема-передачи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ответственному лицу уполномоченного органа.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журнал учета) в день передачи подарка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хранение.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Журнал учета должен быть пронумерован, прошнурован и скреплен печат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ью администрации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 Второй экземпляр уведомления и документы не позднее 3 рабочих дней со дня регистрации уведомления направляются уполномоченным органом в комисси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 администрации 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комиссия по поступлению и выбытию активов).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15.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 по поступлению и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выбытию активов направля</w:t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ет: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полученные в соответствии с пунктом 14 настоящего Положения уведомления и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документы в  администрацию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включения подарка, стоимость которого превышает двести тысяч рублей и подтверждена документами, указанными в подпункте 1 пункта 10 настоящего Положения, в Реестр муниципального имущест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ва, а также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полученный подарок по акту приема-передачи, стоимость которого свыше трех тысяч рублей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не превышает двести тысяч рублей, и подтверждена документами, указанными в подпункте 1 пункта 10 настоящего Положения, который числится на </w:t>
      </w:r>
      <w:proofErr w:type="spell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забалансовом</w:t>
      </w:r>
      <w:proofErr w:type="spell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счете 02 "Материальные ценности, принятые на хранение" до утверждения 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комиссии по поступлению и выбытию активов, о целесообразности использования подарка или нецелесообразности его использовани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администрацией.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</w:t>
      </w:r>
      <w:proofErr w:type="gramEnd"/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А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нистрация Алексеевского муниципального образования 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организует проведение оценки стоимости подарка. Оценка стоимости подарка осуществляется в 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порядке, предусмотренном зако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нодательством и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течение 5 рабочих д</w:t>
      </w:r>
      <w:r w:rsidR="00C23C44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ней со дня получения 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оценки подарка направляет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в комиссию по поступлению и выбытию активов.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орган заявление о выкупе подарка.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Подарок, в отношении которого не поступило заявления о выкупе подарка, указанного в пункте 19 настоящего Положения подарок, который не возвращен сдавшему его муниципальному служащему в соответствии с пунктом 18 настоящего Положения, может использоватьс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администрацией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учетом решения комиссии по поступлению и выбытию активов о целесообразности использования подарка.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 администрацией 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3 рабочих дней со дня его принятия направляется на утверждение 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главе Алексеевского муниципального образования.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 принятом решении комиссия по поступлению и выбытию активов в письменной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форме уведомляет  администрацию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3 рабочих дней со дня утверждения соответствующего решения 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главу Алексеевского муниципального образования.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 нецелесообразности использования подарк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администрацией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в случае, если подарок не выкуплен 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муниципальным служащим, главой Алексеевского муниципального образования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15277" w:rsidRDefault="00115277" w:rsidP="00E24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115277" w:rsidRDefault="00115277" w:rsidP="00E24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115277" w:rsidRDefault="00115277" w:rsidP="00E24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E2447E" w:rsidRPr="00E2447E" w:rsidRDefault="00E2447E" w:rsidP="00E24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Приложение N 1. Уведомление о получении подарка</w:t>
      </w:r>
    </w:p>
    <w:p w:rsidR="00E2447E" w:rsidRPr="00362A65" w:rsidRDefault="00E2447E" w:rsidP="00362A65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E2447E">
        <w:rPr>
          <w:sz w:val="24"/>
          <w:szCs w:val="24"/>
          <w:lang w:eastAsia="ru-RU"/>
        </w:rPr>
        <w:br/>
      </w:r>
      <w:r w:rsidRPr="00E2447E">
        <w:rPr>
          <w:sz w:val="24"/>
          <w:szCs w:val="24"/>
          <w:lang w:eastAsia="ru-RU"/>
        </w:rPr>
        <w:br/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t>Приложение N 1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к Положению о сообщении муниципальными служащи</w:t>
      </w:r>
      <w:r w:rsidR="00362A65" w:rsidRPr="00362A65">
        <w:rPr>
          <w:rFonts w:ascii="Times New Roman" w:hAnsi="Times New Roman" w:cs="Times New Roman"/>
          <w:sz w:val="16"/>
          <w:szCs w:val="16"/>
          <w:lang w:eastAsia="ru-RU"/>
        </w:rPr>
        <w:t>ми</w:t>
      </w:r>
      <w:r w:rsidR="00362A65"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администрации АМО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t xml:space="preserve"> о получении подарка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в связи с протокольными мероприятиями, служебными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командировками и с другими официальными мероприятиями,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участие в которых связано с исполнением ими должностных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обязанностей, сдаче и оценке подарка, реализации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(выкупе) и зачислении средств, вырученных</w:t>
      </w:r>
      <w:r w:rsidRPr="00362A65">
        <w:rPr>
          <w:rFonts w:ascii="Times New Roman" w:hAnsi="Times New Roman" w:cs="Times New Roman"/>
          <w:sz w:val="16"/>
          <w:szCs w:val="16"/>
          <w:lang w:eastAsia="ru-RU"/>
        </w:rPr>
        <w:br/>
        <w:t>от его реализации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 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уполномоченного органа) 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______________________________________ 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 муниципального служащего, 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занимаемая им должность)</w:t>
      </w:r>
    </w:p>
    <w:p w:rsidR="00E2447E" w:rsidRPr="00E2447E" w:rsidRDefault="00E2447E" w:rsidP="00E2447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Уведомление о получении подарка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Извещаю о получении ___________________________________________________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(дата получения)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подарк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 ____________________________________________________________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(наименование протокольного мероприятия, служебной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___________________________________________________________________________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командировки, другого официального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3142"/>
      </w:tblGrid>
      <w:tr w:rsidR="00E2447E" w:rsidRPr="00E2447E" w:rsidTr="00E2447E">
        <w:trPr>
          <w:trHeight w:val="15"/>
        </w:trPr>
        <w:tc>
          <w:tcPr>
            <w:tcW w:w="2957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E2447E" w:rsidRPr="00E2447E" w:rsidTr="00E244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Приложение: 1. Характеристика подарка (его описание) на ___________ листах.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1. _____________________________________________________ на _______ листах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(</w:t>
      </w:r>
      <w:proofErr w:type="gramStart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proofErr w:type="gramEnd"/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аименование документа)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2. _____________________________________________________ на _______ листах.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(наименование документа)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3. _____________________________________________________ на _______ листах.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(наименование документа)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___________________________   _________________ "___" ____________ 20__ г.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   (подпись лица,             (расшифровка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представившего уведомление)       подписи)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____________________________   _________________ "___" ____________ 20__ г.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     (подпись лица,            (расшифровка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    принявшего уведомление)          подписи)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Регистрационный номер в журнале регистрации уведомлений</w:t>
      </w: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"___" ______________ 20___ г.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&lt;*&gt; Заполняется при наличии документов, подтверждающих стоимость подарка.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E2447E" w:rsidRPr="00E2447E" w:rsidRDefault="00E2447E" w:rsidP="00E244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Приложение N 2. Журнал учета уведомлений о получении подарка</w:t>
      </w:r>
    </w:p>
    <w:p w:rsidR="00E2447E" w:rsidRPr="00E2447E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сообщении муниципальными служащи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</w:t>
      </w:r>
      <w:r w:rsidR="00362A65" w:rsidRPr="00362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АМО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получении подарка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связи с протокольными мероприятиями, служебными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командировками и с другими официальными мероприятиями,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участие в которых связано с исполнением ими должностных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обязанностей, сдаче и оценке подарка, реализации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(выкупе) и зачислении средств, вырученных</w:t>
      </w: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его реализации</w:t>
      </w:r>
    </w:p>
    <w:p w:rsidR="00E2447E" w:rsidRPr="00E2447E" w:rsidRDefault="00E2447E" w:rsidP="00E244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Журнал учета уведомлений о получении подарка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51"/>
        <w:gridCol w:w="1789"/>
        <w:gridCol w:w="1767"/>
        <w:gridCol w:w="1448"/>
        <w:gridCol w:w="1681"/>
        <w:gridCol w:w="1489"/>
      </w:tblGrid>
      <w:tr w:rsidR="00E2447E" w:rsidRPr="00E2447E" w:rsidTr="00E2447E">
        <w:trPr>
          <w:trHeight w:val="15"/>
        </w:trPr>
        <w:tc>
          <w:tcPr>
            <w:tcW w:w="554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должности, замещаемой муниципальным служащим, подавшим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E2447E" w:rsidRPr="00E2447E" w:rsidTr="00E24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4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E2447E" w:rsidRPr="00E2447E" w:rsidTr="00E24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7E" w:rsidRPr="00E2447E" w:rsidTr="00E2447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47E" w:rsidRPr="00E2447E" w:rsidRDefault="00E2447E" w:rsidP="00E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47E" w:rsidRPr="00E2447E" w:rsidRDefault="00E2447E" w:rsidP="00E244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44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D70C8" w:rsidRPr="00362A65" w:rsidRDefault="005D70C8">
      <w:pPr>
        <w:rPr>
          <w:rFonts w:ascii="Times New Roman" w:hAnsi="Times New Roman" w:cs="Times New Roman"/>
          <w:sz w:val="24"/>
          <w:szCs w:val="24"/>
        </w:rPr>
      </w:pPr>
    </w:p>
    <w:sectPr w:rsidR="005D70C8" w:rsidRPr="00362A65" w:rsidSect="00362A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3CC"/>
    <w:multiLevelType w:val="hybridMultilevel"/>
    <w:tmpl w:val="E02A6176"/>
    <w:lvl w:ilvl="0" w:tplc="3F4A5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E"/>
    <w:rsid w:val="00115277"/>
    <w:rsid w:val="00142B53"/>
    <w:rsid w:val="00252BB8"/>
    <w:rsid w:val="00362A65"/>
    <w:rsid w:val="005D70C8"/>
    <w:rsid w:val="00C23C44"/>
    <w:rsid w:val="00CA2DF3"/>
    <w:rsid w:val="00E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 О С С И Й С К А Я  Ф Е Д Е Р А Ц И Я</vt:lpstr>
      <vt:lpstr>        </vt:lpstr>
      <vt:lpstr>        </vt:lpstr>
      <vt:lpstr>        </vt:lpstr>
      <vt:lpstr>        Приложение N 1. Уведомление о получении подарка</vt:lpstr>
      <vt:lpstr>        Приложение N 2. Журнал учета уведомлений о получении подарка</vt:lpstr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2018-10-15T02:17:00Z</cp:lastPrinted>
  <dcterms:created xsi:type="dcterms:W3CDTF">2018-10-15T02:20:00Z</dcterms:created>
  <dcterms:modified xsi:type="dcterms:W3CDTF">2018-10-15T02:20:00Z</dcterms:modified>
</cp:coreProperties>
</file>